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t>关于部分检验项目的说明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600"/>
        <w:rPr>
          <w:color w:val="auto"/>
          <w:position w:val="0"/>
          <w:sz w:val="30"/>
          <w:szCs w:val="30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氧氟沙星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left="0" w:firstLine="600"/>
        <w:rPr>
          <w:color w:val="auto"/>
          <w:position w:val="0"/>
          <w:sz w:val="30"/>
          <w:szCs w:val="30"/>
          <w:rFonts w:ascii="Calibri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氧氟沙星是一类常见的喹诺酮类抗生素药物，主要用于上述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革兰阴性菌所致的呼吸道、咽喉、扁桃体、泌尿道（包括前列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腺）、皮肤及软组织、胆囊及胆管、中耳、鼻窦、泪囊、肠道等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部位的急、慢性感染。氧氟沙星作为抗生素的一种其对人体的潜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在危害使得该药物必须在遵照医嘱的前提下进行服用，更是被明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文禁止使用于食品动物中。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left="0" w:firstLine="600"/>
        <w:rPr>
          <w:color w:val="auto"/>
          <w:position w:val="0"/>
          <w:sz w:val="30"/>
          <w:szCs w:val="30"/>
          <w:rFonts w:ascii="Calibri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发布在食品动物中停止使用洛美沙星、培氟沙星、氧氟沙星、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诺氟沙星4种兽药的决定(农业部公告第2292号)中明确提出：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为保障动物产品质量安全和公共卫生安全，我部组织开展了部分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兽药的安全性评价工作。经评价，认为洛美沙星、培氟沙星、氧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氟沙星、诺氟沙星4种原料药的各种盐、酯及其各种制剂可能对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养殖业、人体健康造成危害或者存在潜在风险。根据《兽药管理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条例》第六十九条规定，我部决定在食品动物中停止使用洛美沙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星、培氟沙星、氧氟沙星、诺氟沙星4种兽药，撤销相关兽药产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品批准文号。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left="0" w:firstLine="600"/>
        <w:rPr>
          <w:color w:val="auto"/>
          <w:position w:val="0"/>
          <w:sz w:val="30"/>
          <w:szCs w:val="30"/>
          <w:rFonts w:ascii="Calibri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目前被农业部允许使用于食品动物中的喹诺酮类兽药仅有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恩诺沙星一种，且其使用范围和使用限量均有严格要求。养殖户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由于食品动物对抗生素耐药性的增强而选择使用其他抗生素替</w:t>
      </w:r>
      <w:r>
        <w:rPr>
          <w:color w:val="auto"/>
          <w:position w:val="0"/>
          <w:sz w:val="30"/>
          <w:szCs w:val="30"/>
          <w:rFonts w:ascii="Calibri" w:eastAsia="宋体" w:hAnsi="宋体" w:hint="default"/>
        </w:rPr>
        <w:t>代物是此类不合格现象发生的重要原因。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footer"/>
    <w:basedOn w:val="PO1"/>
    <w:link w:val="PO156"/>
    <w:uiPriority w:val="152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link w:val="PO155"/>
    <w:qFormat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4" w:type="character">
    <w:name w:val="Hyperlink"/>
    <w:basedOn w:val="PO2"/>
    <w:qFormat/>
    <w:uiPriority w:val="154"/>
    <w:semiHidden/>
    <w:unhideWhenUsed/>
    <w:rPr>
      <w:color w:val="0000FF"/>
      <w:shd w:val="clear"/>
      <w:sz w:val="20"/>
      <w:szCs w:val="20"/>
      <w:u w:val="single"/>
      <w:w w:val="100"/>
    </w:rPr>
  </w:style>
  <w:style w:customStyle="1" w:styleId="PO155" w:type="character">
    <w:name w:val="页眉 Char"/>
    <w:basedOn w:val="PO2"/>
    <w:link w:val="PO153"/>
    <w:qFormat/>
    <w:uiPriority w:val="155"/>
    <w:semiHidden/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2"/>
    <w:qFormat/>
    <w:uiPriority w:val="156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5</Lines>
  <LinksUpToDate>false</LinksUpToDate>
  <Pages>1</Pages>
  <Paragraphs>1</Paragraphs>
  <Words>105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竺忠国</dc:creator>
  <cp:lastModifiedBy/>
  <dcterms:modified xsi:type="dcterms:W3CDTF">2018-12-24T02:49:49Z</dcterms:modified>
</cp:coreProperties>
</file>