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方正小标宋简体" w:eastAsia="方正小标宋简体"/>
          <w:sz w:val="28"/>
          <w:szCs w:val="28"/>
        </w:rPr>
      </w:pPr>
      <w:r>
        <w:rPr>
          <w:rFonts w:hint="eastAsia" w:ascii="方正小标宋简体" w:eastAsia="方正小标宋简体"/>
          <w:sz w:val="28"/>
          <w:szCs w:val="28"/>
        </w:rPr>
        <w:t>附件2</w:t>
      </w:r>
    </w:p>
    <w:p>
      <w:pPr>
        <w:spacing w:line="360" w:lineRule="auto"/>
        <w:ind w:firstLine="883" w:firstLineChars="200"/>
        <w:jc w:val="center"/>
        <w:rPr>
          <w:rFonts w:ascii="宋体" w:hAnsi="宋体" w:cs="宋体"/>
          <w:b/>
          <w:sz w:val="44"/>
          <w:szCs w:val="44"/>
        </w:rPr>
      </w:pPr>
      <w:r>
        <w:rPr>
          <w:rFonts w:hint="eastAsia" w:ascii="宋体" w:hAnsi="宋体" w:cs="宋体"/>
          <w:b/>
          <w:sz w:val="44"/>
          <w:szCs w:val="44"/>
        </w:rPr>
        <w:t>关于部分检验项目的说明</w:t>
      </w:r>
    </w:p>
    <w:p>
      <w:pPr>
        <w:widowControl/>
        <w:spacing w:line="560" w:lineRule="exact"/>
        <w:ind w:firstLine="643" w:firstLineChars="200"/>
        <w:rPr>
          <w:rFonts w:ascii="宋体" w:hAnsi="宋体" w:cs="宋体"/>
          <w:b/>
          <w:bCs/>
          <w:sz w:val="32"/>
          <w:szCs w:val="32"/>
        </w:rPr>
      </w:pPr>
      <w:r>
        <w:rPr>
          <w:rFonts w:hint="eastAsia" w:ascii="宋体" w:hAnsi="宋体" w:cs="宋体"/>
          <w:b/>
          <w:bCs/>
          <w:sz w:val="32"/>
          <w:szCs w:val="32"/>
          <w:lang w:eastAsia="zh-CN"/>
        </w:rPr>
        <w:t>一、</w:t>
      </w:r>
      <w:r>
        <w:rPr>
          <w:rFonts w:hint="eastAsia" w:ascii="宋体" w:hAnsi="宋体" w:cs="宋体"/>
          <w:b/>
          <w:bCs/>
          <w:sz w:val="32"/>
          <w:szCs w:val="32"/>
        </w:rPr>
        <w:t>苯甲酸及其钠盐（以苯甲酸计）</w:t>
      </w:r>
    </w:p>
    <w:p>
      <w:pPr>
        <w:widowControl/>
        <w:spacing w:line="560" w:lineRule="exact"/>
        <w:ind w:firstLine="640" w:firstLineChars="200"/>
        <w:rPr>
          <w:rFonts w:asciiTheme="minorEastAsia" w:hAnsiTheme="minorEastAsia" w:eastAsiaTheme="minorEastAsia"/>
          <w:sz w:val="32"/>
          <w:szCs w:val="32"/>
        </w:rPr>
      </w:pPr>
      <w:r>
        <w:rPr>
          <w:rFonts w:ascii="宋体" w:hAnsi="宋体" w:eastAsia="宋体"/>
          <w:sz w:val="32"/>
          <w:szCs w:val="32"/>
        </w:rPr>
        <w:t>苯甲酸及其钠盐是食品工业中常见的防腐保鲜剂，对霉菌、酵母和细菌有较好的抑制作用。苯甲酸及其钠盐的安全性较高，少量苯甲酸对人体无毒害，可随尿液排出体外，在人体内不会蓄积。若长期过量食入苯甲酸超标的食品可能会对肝脏功能产</w:t>
      </w:r>
      <w:r>
        <w:rPr>
          <w:rFonts w:ascii="宋体" w:hAnsi="宋体" w:eastAsia="宋体"/>
          <w:spacing w:val="14"/>
          <w:sz w:val="32"/>
          <w:szCs w:val="32"/>
        </w:rPr>
        <w:t>生一定影响</w:t>
      </w:r>
      <w:r>
        <w:rPr>
          <w:rFonts w:hint="eastAsia" w:ascii="宋体" w:hAnsi="宋体" w:eastAsia="宋体"/>
          <w:spacing w:val="14"/>
          <w:sz w:val="32"/>
          <w:szCs w:val="32"/>
        </w:rPr>
        <w:t>。</w:t>
      </w:r>
      <w:r>
        <w:rPr>
          <w:rFonts w:ascii="宋体" w:hAnsi="宋体" w:eastAsia="宋体"/>
          <w:sz w:val="32"/>
          <w:szCs w:val="32"/>
        </w:rPr>
        <w:t>苯甲酸及其钠盐超标的原因</w:t>
      </w:r>
      <w:r>
        <w:rPr>
          <w:rFonts w:hint="eastAsia" w:ascii="宋体" w:hAnsi="宋体"/>
          <w:sz w:val="32"/>
          <w:szCs w:val="32"/>
          <w:lang w:eastAsia="zh-CN"/>
        </w:rPr>
        <w:t>一是</w:t>
      </w:r>
      <w:r>
        <w:rPr>
          <w:rFonts w:ascii="宋体" w:hAnsi="宋体" w:eastAsia="宋体"/>
          <w:sz w:val="32"/>
          <w:szCs w:val="32"/>
        </w:rPr>
        <w:t>企业为增加产品保质期</w:t>
      </w:r>
      <w:r>
        <w:rPr>
          <w:rFonts w:hint="eastAsia" w:ascii="宋体" w:hAnsi="宋体"/>
          <w:sz w:val="32"/>
          <w:szCs w:val="32"/>
          <w:lang w:eastAsia="zh-CN"/>
        </w:rPr>
        <w:t>、</w:t>
      </w:r>
      <w:r>
        <w:rPr>
          <w:rFonts w:ascii="宋体" w:hAnsi="宋体" w:eastAsia="宋体"/>
          <w:sz w:val="32"/>
          <w:szCs w:val="32"/>
        </w:rPr>
        <w:t>或</w:t>
      </w:r>
      <w:r>
        <w:rPr>
          <w:rFonts w:hint="eastAsia" w:ascii="宋体" w:hAnsi="宋体"/>
          <w:sz w:val="32"/>
          <w:szCs w:val="32"/>
          <w:lang w:eastAsia="zh-CN"/>
        </w:rPr>
        <w:t>为</w:t>
      </w:r>
      <w:r>
        <w:rPr>
          <w:rFonts w:ascii="宋体" w:hAnsi="宋体" w:eastAsia="宋体"/>
          <w:sz w:val="32"/>
          <w:szCs w:val="32"/>
        </w:rPr>
        <w:t>弥补产品生产过程</w:t>
      </w:r>
      <w:r>
        <w:rPr>
          <w:rFonts w:hint="eastAsia" w:ascii="宋体" w:hAnsi="宋体"/>
          <w:sz w:val="32"/>
          <w:szCs w:val="32"/>
          <w:lang w:eastAsia="zh-CN"/>
        </w:rPr>
        <w:t>中</w:t>
      </w:r>
      <w:r>
        <w:rPr>
          <w:rFonts w:ascii="宋体" w:hAnsi="宋体" w:eastAsia="宋体"/>
          <w:sz w:val="32"/>
          <w:szCs w:val="32"/>
        </w:rPr>
        <w:t>卫生条件</w:t>
      </w:r>
      <w:r>
        <w:rPr>
          <w:rFonts w:hint="eastAsia" w:ascii="宋体" w:hAnsi="宋体"/>
          <w:sz w:val="32"/>
          <w:szCs w:val="32"/>
          <w:lang w:eastAsia="zh-CN"/>
        </w:rPr>
        <w:t>差</w:t>
      </w:r>
      <w:r>
        <w:rPr>
          <w:rFonts w:ascii="宋体" w:hAnsi="宋体" w:eastAsia="宋体"/>
          <w:sz w:val="32"/>
          <w:szCs w:val="32"/>
        </w:rPr>
        <w:t>而超限量使用</w:t>
      </w:r>
      <w:r>
        <w:rPr>
          <w:rFonts w:hint="eastAsia" w:ascii="宋体" w:hAnsi="宋体"/>
          <w:sz w:val="32"/>
          <w:szCs w:val="32"/>
          <w:lang w:eastAsia="zh-CN"/>
        </w:rPr>
        <w:t>；二是企业在使用时</w:t>
      </w:r>
      <w:r>
        <w:rPr>
          <w:rFonts w:ascii="宋体" w:hAnsi="宋体" w:eastAsia="宋体"/>
          <w:sz w:val="32"/>
          <w:szCs w:val="32"/>
        </w:rPr>
        <w:t>未</w:t>
      </w:r>
      <w:r>
        <w:rPr>
          <w:rFonts w:hint="eastAsia" w:ascii="宋体" w:hAnsi="宋体"/>
          <w:sz w:val="32"/>
          <w:szCs w:val="32"/>
          <w:lang w:eastAsia="zh-CN"/>
        </w:rPr>
        <w:t>能</w:t>
      </w:r>
      <w:r>
        <w:rPr>
          <w:rFonts w:ascii="宋体" w:hAnsi="宋体" w:eastAsia="宋体"/>
          <w:sz w:val="32"/>
          <w:szCs w:val="32"/>
        </w:rPr>
        <w:t>准确计量。</w:t>
      </w:r>
    </w:p>
    <w:p>
      <w:pPr>
        <w:widowControl/>
        <w:numPr>
          <w:ilvl w:val="0"/>
          <w:numId w:val="1"/>
        </w:numPr>
        <w:spacing w:line="560" w:lineRule="exact"/>
        <w:ind w:firstLine="643" w:firstLineChars="200"/>
        <w:rPr>
          <w:rFonts w:hint="eastAsia" w:ascii="宋体" w:hAnsi="宋体" w:cs="宋体"/>
          <w:b/>
          <w:bCs/>
          <w:sz w:val="32"/>
          <w:szCs w:val="32"/>
          <w:lang w:eastAsia="zh-CN"/>
        </w:rPr>
      </w:pPr>
      <w:r>
        <w:rPr>
          <w:rFonts w:hint="eastAsia" w:ascii="宋体" w:hAnsi="宋体" w:cs="宋体"/>
          <w:b/>
          <w:bCs/>
          <w:sz w:val="32"/>
          <w:szCs w:val="32"/>
          <w:lang w:eastAsia="zh-CN"/>
        </w:rPr>
        <w:t>防腐剂混合使用时各自用量占其最大使用量比例之和</w:t>
      </w:r>
    </w:p>
    <w:p>
      <w:pPr>
        <w:widowControl/>
        <w:numPr>
          <w:ilvl w:val="0"/>
          <w:numId w:val="0"/>
        </w:numPr>
        <w:spacing w:line="560" w:lineRule="exact"/>
        <w:ind w:firstLine="640" w:firstLineChars="200"/>
        <w:rPr>
          <w:rFonts w:hint="eastAsia" w:ascii="宋体" w:hAnsi="宋体" w:cs="宋体"/>
          <w:b w:val="0"/>
          <w:bCs w:val="0"/>
          <w:sz w:val="32"/>
          <w:szCs w:val="32"/>
          <w:lang w:eastAsia="zh-CN"/>
        </w:rPr>
      </w:pPr>
      <w:r>
        <w:rPr>
          <w:rFonts w:hint="eastAsia" w:ascii="宋体" w:hAnsi="宋体" w:cs="宋体"/>
          <w:b w:val="0"/>
          <w:bCs w:val="0"/>
          <w:sz w:val="32"/>
          <w:szCs w:val="32"/>
          <w:lang w:eastAsia="zh-CN"/>
        </w:rPr>
        <w:t>防腐剂混合使用时各自用量占其最大使用量比例之和超标的原因可能是企业为增加产品保质期或者为弥补产品生产中卫生条件不佳而混合使用多种防腐剂，致使该产品中的防腐剂各自用量占其最大使用量比例之和超标。我国允许使用的食品防腐剂为低毒、安全性较高的品种，但长期过量摄入可能会对人体健康造成一定的损害。</w:t>
      </w:r>
    </w:p>
    <w:p>
      <w:pPr>
        <w:pStyle w:val="13"/>
        <w:spacing w:line="600" w:lineRule="exact"/>
        <w:ind w:firstLine="640"/>
        <w:rPr>
          <w:rFonts w:hint="eastAsia" w:ascii="黑体" w:hAnsi="黑体" w:eastAsia="黑体"/>
          <w:sz w:val="32"/>
          <w:szCs w:val="32"/>
        </w:rPr>
      </w:pPr>
      <w:r>
        <w:rPr>
          <w:rFonts w:hint="eastAsia" w:asciiTheme="minorEastAsia" w:hAnsiTheme="minorEastAsia" w:eastAsiaTheme="minorEastAsia" w:cstheme="minorEastAsia"/>
          <w:b/>
          <w:bCs/>
          <w:sz w:val="32"/>
          <w:szCs w:val="32"/>
          <w:lang w:eastAsia="zh-CN"/>
        </w:rPr>
        <w:t>三、</w:t>
      </w:r>
      <w:r>
        <w:rPr>
          <w:rFonts w:hint="eastAsia" w:asciiTheme="minorEastAsia" w:hAnsiTheme="minorEastAsia" w:eastAsiaTheme="minorEastAsia" w:cstheme="minorEastAsia"/>
          <w:b/>
          <w:bCs/>
          <w:sz w:val="32"/>
          <w:szCs w:val="32"/>
        </w:rPr>
        <w:t>二氧化硫残留量</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氧化硫是国内外允许使用的一种食品添加剂，通常情况下以焦亚硫酸钾、焦亚硫酸钠、亚硫酸钠、亚硫酸氢钠、低亚硫酸钠等亚硫酸盐的形式添加于食品中，或采用硫磺熏蒸的方式用于食品加工处理，具有漂白、防腐和抗氧化的作用。二氧化硫进入人体后最终转化为硫酸盐并随尿液排出体外，少量摄入不会对身体带来健康危害，但若过量食用可能引起如恶心、呕吐等胃肠道反应。《食品安全国家标准 食品添加剂使用标准》（</w:t>
      </w:r>
      <w:r>
        <w:rPr>
          <w:rFonts w:hint="eastAsia" w:ascii="宋体" w:hAnsi="宋体" w:eastAsia="宋体" w:cs="宋体"/>
          <w:kern w:val="0"/>
          <w:sz w:val="32"/>
          <w:szCs w:val="32"/>
          <w:shd w:val="clear" w:color="auto" w:fill="FFFFFF"/>
        </w:rPr>
        <w:t>GB 2760</w:t>
      </w:r>
      <w:r>
        <w:rPr>
          <w:rFonts w:hint="eastAsia" w:ascii="宋体" w:hAnsi="宋体" w:eastAsia="宋体" w:cs="宋体"/>
          <w:kern w:val="0"/>
          <w:sz w:val="32"/>
          <w:szCs w:val="32"/>
        </w:rPr>
        <w:t>—</w:t>
      </w:r>
      <w:r>
        <w:rPr>
          <w:rFonts w:hint="eastAsia" w:ascii="宋体" w:hAnsi="宋体" w:eastAsia="宋体" w:cs="宋体"/>
          <w:kern w:val="0"/>
          <w:sz w:val="32"/>
          <w:szCs w:val="32"/>
          <w:shd w:val="clear" w:color="auto" w:fill="FFFFFF"/>
        </w:rPr>
        <w:t>2014</w:t>
      </w:r>
      <w:r>
        <w:rPr>
          <w:rFonts w:hint="eastAsia" w:ascii="宋体" w:hAnsi="宋体" w:eastAsia="宋体" w:cs="宋体"/>
          <w:sz w:val="32"/>
          <w:szCs w:val="32"/>
        </w:rPr>
        <w:t>）中规定，腌渍的蔬菜中二氧化硫残留量不应超过0.1g/kg。不合格原因主要</w:t>
      </w:r>
      <w:r>
        <w:rPr>
          <w:rFonts w:hint="eastAsia" w:ascii="宋体" w:hAnsi="宋体" w:cs="宋体"/>
          <w:sz w:val="32"/>
          <w:szCs w:val="32"/>
          <w:lang w:eastAsia="zh-CN"/>
        </w:rPr>
        <w:t>是</w:t>
      </w:r>
      <w:r>
        <w:rPr>
          <w:rFonts w:hint="eastAsia" w:ascii="宋体" w:hAnsi="宋体" w:eastAsia="宋体" w:cs="宋体"/>
          <w:sz w:val="32"/>
          <w:szCs w:val="32"/>
        </w:rPr>
        <w:t>生产加工过程管控</w:t>
      </w:r>
      <w:r>
        <w:rPr>
          <w:rFonts w:hint="eastAsia" w:ascii="宋体" w:hAnsi="宋体" w:cs="宋体"/>
          <w:sz w:val="32"/>
          <w:szCs w:val="32"/>
          <w:lang w:eastAsia="zh-CN"/>
        </w:rPr>
        <w:t>不到位</w:t>
      </w:r>
      <w:r>
        <w:rPr>
          <w:rFonts w:hint="eastAsia" w:ascii="宋体" w:hAnsi="宋体" w:eastAsia="宋体" w:cs="宋体"/>
          <w:sz w:val="32"/>
          <w:szCs w:val="32"/>
        </w:rPr>
        <w:t>，超限量使用</w:t>
      </w:r>
      <w:bookmarkStart w:id="0" w:name="_GoBack"/>
      <w:bookmarkEnd w:id="0"/>
      <w:r>
        <w:rPr>
          <w:rFonts w:hint="eastAsia" w:ascii="宋体" w:hAnsi="宋体" w:eastAsia="宋体" w:cs="宋体"/>
          <w:sz w:val="32"/>
          <w:szCs w:val="32"/>
        </w:rPr>
        <w:t>食品添加剂。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sz w:val="32"/>
          <w:szCs w:val="32"/>
        </w:rPr>
      </w:pPr>
    </w:p>
    <w:sectPr>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BB5A3"/>
    <w:multiLevelType w:val="singleLevel"/>
    <w:tmpl w:val="382BB5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A1FC5"/>
    <w:rsid w:val="00051AE3"/>
    <w:rsid w:val="0009108C"/>
    <w:rsid w:val="000C537A"/>
    <w:rsid w:val="000D63C9"/>
    <w:rsid w:val="000F4467"/>
    <w:rsid w:val="0019691D"/>
    <w:rsid w:val="001D4DA7"/>
    <w:rsid w:val="00203620"/>
    <w:rsid w:val="0023175D"/>
    <w:rsid w:val="00357568"/>
    <w:rsid w:val="003663B2"/>
    <w:rsid w:val="003B2DD3"/>
    <w:rsid w:val="0041777C"/>
    <w:rsid w:val="00492C02"/>
    <w:rsid w:val="004D2049"/>
    <w:rsid w:val="005714EA"/>
    <w:rsid w:val="0058082F"/>
    <w:rsid w:val="00585BDB"/>
    <w:rsid w:val="00593DE8"/>
    <w:rsid w:val="005E1F65"/>
    <w:rsid w:val="005E4F29"/>
    <w:rsid w:val="0068055F"/>
    <w:rsid w:val="00696B22"/>
    <w:rsid w:val="007346AD"/>
    <w:rsid w:val="00744473"/>
    <w:rsid w:val="00750781"/>
    <w:rsid w:val="007C69CA"/>
    <w:rsid w:val="007E000E"/>
    <w:rsid w:val="00873B00"/>
    <w:rsid w:val="008779B5"/>
    <w:rsid w:val="008F6A2B"/>
    <w:rsid w:val="0092772A"/>
    <w:rsid w:val="00936E22"/>
    <w:rsid w:val="009D12C5"/>
    <w:rsid w:val="009D14C7"/>
    <w:rsid w:val="00B531DD"/>
    <w:rsid w:val="00C5582E"/>
    <w:rsid w:val="00C62BAA"/>
    <w:rsid w:val="00C723B2"/>
    <w:rsid w:val="00CB1D7E"/>
    <w:rsid w:val="00CF4ABA"/>
    <w:rsid w:val="00D02C49"/>
    <w:rsid w:val="00D17BBC"/>
    <w:rsid w:val="00D62EA4"/>
    <w:rsid w:val="00D66C1B"/>
    <w:rsid w:val="00DA1FC5"/>
    <w:rsid w:val="00DE2292"/>
    <w:rsid w:val="00E258BE"/>
    <w:rsid w:val="00EF37DC"/>
    <w:rsid w:val="00F529E9"/>
    <w:rsid w:val="00F95B57"/>
    <w:rsid w:val="00FF58CA"/>
    <w:rsid w:val="0179697A"/>
    <w:rsid w:val="017A4F32"/>
    <w:rsid w:val="01A92A44"/>
    <w:rsid w:val="01B8645F"/>
    <w:rsid w:val="02450125"/>
    <w:rsid w:val="026929FF"/>
    <w:rsid w:val="02852330"/>
    <w:rsid w:val="034E5B6F"/>
    <w:rsid w:val="03EF3B00"/>
    <w:rsid w:val="04012B21"/>
    <w:rsid w:val="0456002C"/>
    <w:rsid w:val="04653BF5"/>
    <w:rsid w:val="0536769A"/>
    <w:rsid w:val="061E1B96"/>
    <w:rsid w:val="068D34CF"/>
    <w:rsid w:val="07EB0E8D"/>
    <w:rsid w:val="08391C14"/>
    <w:rsid w:val="08784C4A"/>
    <w:rsid w:val="08C23455"/>
    <w:rsid w:val="09B82711"/>
    <w:rsid w:val="0AD46352"/>
    <w:rsid w:val="0BEE25FB"/>
    <w:rsid w:val="0C1F2AF1"/>
    <w:rsid w:val="0C5368D9"/>
    <w:rsid w:val="0CDB22A5"/>
    <w:rsid w:val="0D4D7CE0"/>
    <w:rsid w:val="0D512AC6"/>
    <w:rsid w:val="0DC5106A"/>
    <w:rsid w:val="0DFD36D8"/>
    <w:rsid w:val="0E562EF9"/>
    <w:rsid w:val="0EB14F0C"/>
    <w:rsid w:val="10D4182A"/>
    <w:rsid w:val="11296D36"/>
    <w:rsid w:val="11803EC2"/>
    <w:rsid w:val="11B82AF4"/>
    <w:rsid w:val="11CA3CC3"/>
    <w:rsid w:val="11D93657"/>
    <w:rsid w:val="12157C38"/>
    <w:rsid w:val="12A97023"/>
    <w:rsid w:val="12C17D51"/>
    <w:rsid w:val="12D8728C"/>
    <w:rsid w:val="13434E27"/>
    <w:rsid w:val="147963B0"/>
    <w:rsid w:val="14AA65F8"/>
    <w:rsid w:val="15CC47B2"/>
    <w:rsid w:val="16372819"/>
    <w:rsid w:val="1638311D"/>
    <w:rsid w:val="16E16597"/>
    <w:rsid w:val="17166A60"/>
    <w:rsid w:val="18A82680"/>
    <w:rsid w:val="18AF3F70"/>
    <w:rsid w:val="18BD2625"/>
    <w:rsid w:val="19484788"/>
    <w:rsid w:val="1A3D66F7"/>
    <w:rsid w:val="1A4615E7"/>
    <w:rsid w:val="1A5B7227"/>
    <w:rsid w:val="1A6A0D34"/>
    <w:rsid w:val="1A774E7A"/>
    <w:rsid w:val="1AAE7552"/>
    <w:rsid w:val="1AB104D7"/>
    <w:rsid w:val="1AC109BE"/>
    <w:rsid w:val="1B0302E1"/>
    <w:rsid w:val="1B127276"/>
    <w:rsid w:val="1B3E13BF"/>
    <w:rsid w:val="1BA261EC"/>
    <w:rsid w:val="1BA445E7"/>
    <w:rsid w:val="1BB65CCF"/>
    <w:rsid w:val="1BD85D3B"/>
    <w:rsid w:val="1BF91AF2"/>
    <w:rsid w:val="1C1C2FAC"/>
    <w:rsid w:val="1C494B42"/>
    <w:rsid w:val="1CB31B10"/>
    <w:rsid w:val="1CBB7632"/>
    <w:rsid w:val="1DB12C88"/>
    <w:rsid w:val="1DF63B37"/>
    <w:rsid w:val="1E565398"/>
    <w:rsid w:val="1F192994"/>
    <w:rsid w:val="1FE06EDA"/>
    <w:rsid w:val="21843D08"/>
    <w:rsid w:val="21BE0669"/>
    <w:rsid w:val="21CF6F25"/>
    <w:rsid w:val="21DA35CF"/>
    <w:rsid w:val="22CB620A"/>
    <w:rsid w:val="237F5587"/>
    <w:rsid w:val="239E30FD"/>
    <w:rsid w:val="23D54E1C"/>
    <w:rsid w:val="2509234F"/>
    <w:rsid w:val="252F3BC1"/>
    <w:rsid w:val="2573171E"/>
    <w:rsid w:val="25BB59F6"/>
    <w:rsid w:val="25D40B1F"/>
    <w:rsid w:val="260B0688"/>
    <w:rsid w:val="260B0F58"/>
    <w:rsid w:val="261D3584"/>
    <w:rsid w:val="262805A9"/>
    <w:rsid w:val="2747517D"/>
    <w:rsid w:val="277D4CE9"/>
    <w:rsid w:val="279E3A83"/>
    <w:rsid w:val="281E2F39"/>
    <w:rsid w:val="28400C18"/>
    <w:rsid w:val="28566A85"/>
    <w:rsid w:val="28971627"/>
    <w:rsid w:val="28DB58C5"/>
    <w:rsid w:val="29686C9B"/>
    <w:rsid w:val="29D51D06"/>
    <w:rsid w:val="2A06727F"/>
    <w:rsid w:val="2A133651"/>
    <w:rsid w:val="2A4D5475"/>
    <w:rsid w:val="2A8F62DB"/>
    <w:rsid w:val="2A927EA0"/>
    <w:rsid w:val="2AFC62E0"/>
    <w:rsid w:val="2B585E34"/>
    <w:rsid w:val="2C216675"/>
    <w:rsid w:val="2CB8206C"/>
    <w:rsid w:val="2CD52FA8"/>
    <w:rsid w:val="2CFD162F"/>
    <w:rsid w:val="2DB7418D"/>
    <w:rsid w:val="2DD4153F"/>
    <w:rsid w:val="2DDC3ADA"/>
    <w:rsid w:val="2E0067C9"/>
    <w:rsid w:val="2EAA249B"/>
    <w:rsid w:val="2EC40417"/>
    <w:rsid w:val="2F413C94"/>
    <w:rsid w:val="2F4524C7"/>
    <w:rsid w:val="300F0E69"/>
    <w:rsid w:val="305E0BE8"/>
    <w:rsid w:val="30C42B5D"/>
    <w:rsid w:val="30D7502F"/>
    <w:rsid w:val="30D7516D"/>
    <w:rsid w:val="31A54CE7"/>
    <w:rsid w:val="322162CA"/>
    <w:rsid w:val="329374DA"/>
    <w:rsid w:val="32F553A9"/>
    <w:rsid w:val="330D71CD"/>
    <w:rsid w:val="33340711"/>
    <w:rsid w:val="338A589D"/>
    <w:rsid w:val="34FC63AE"/>
    <w:rsid w:val="353A1D60"/>
    <w:rsid w:val="35D80965"/>
    <w:rsid w:val="35F36F90"/>
    <w:rsid w:val="36205D69"/>
    <w:rsid w:val="371B2276"/>
    <w:rsid w:val="3734697A"/>
    <w:rsid w:val="37BC7880"/>
    <w:rsid w:val="37DC2334"/>
    <w:rsid w:val="37F653AA"/>
    <w:rsid w:val="391A77BD"/>
    <w:rsid w:val="392C6AA6"/>
    <w:rsid w:val="3AC32F9B"/>
    <w:rsid w:val="3B632E53"/>
    <w:rsid w:val="3B6363FD"/>
    <w:rsid w:val="3CA5228C"/>
    <w:rsid w:val="3D153845"/>
    <w:rsid w:val="3D3E2672"/>
    <w:rsid w:val="3D831F46"/>
    <w:rsid w:val="3D9D47D2"/>
    <w:rsid w:val="3DBB7856"/>
    <w:rsid w:val="3EA861DA"/>
    <w:rsid w:val="3EC34805"/>
    <w:rsid w:val="3FD768CC"/>
    <w:rsid w:val="40536215"/>
    <w:rsid w:val="40586C2E"/>
    <w:rsid w:val="40803861"/>
    <w:rsid w:val="40AE62CE"/>
    <w:rsid w:val="41337146"/>
    <w:rsid w:val="41765073"/>
    <w:rsid w:val="421D4587"/>
    <w:rsid w:val="425424E3"/>
    <w:rsid w:val="426D55AA"/>
    <w:rsid w:val="426E5A45"/>
    <w:rsid w:val="43BC4F2D"/>
    <w:rsid w:val="43BD29AF"/>
    <w:rsid w:val="43EC5DD8"/>
    <w:rsid w:val="442467C1"/>
    <w:rsid w:val="44562237"/>
    <w:rsid w:val="45A14D7D"/>
    <w:rsid w:val="45D37C29"/>
    <w:rsid w:val="470D52C0"/>
    <w:rsid w:val="47182731"/>
    <w:rsid w:val="47692A93"/>
    <w:rsid w:val="478A0725"/>
    <w:rsid w:val="47950493"/>
    <w:rsid w:val="47A20750"/>
    <w:rsid w:val="480A0DBF"/>
    <w:rsid w:val="48C06B44"/>
    <w:rsid w:val="48FF25D1"/>
    <w:rsid w:val="49242C37"/>
    <w:rsid w:val="497C4544"/>
    <w:rsid w:val="49C90D1D"/>
    <w:rsid w:val="4A152119"/>
    <w:rsid w:val="4A8920D8"/>
    <w:rsid w:val="4B0D3710"/>
    <w:rsid w:val="4B4B6913"/>
    <w:rsid w:val="4B4F5764"/>
    <w:rsid w:val="4B560527"/>
    <w:rsid w:val="4B9C5418"/>
    <w:rsid w:val="4BAB3BDE"/>
    <w:rsid w:val="4BB5364E"/>
    <w:rsid w:val="4BCE105C"/>
    <w:rsid w:val="4C457E30"/>
    <w:rsid w:val="4D28577F"/>
    <w:rsid w:val="4D5E44D3"/>
    <w:rsid w:val="4E1A6668"/>
    <w:rsid w:val="4F334112"/>
    <w:rsid w:val="4FE962F0"/>
    <w:rsid w:val="5010116A"/>
    <w:rsid w:val="50FD7AEE"/>
    <w:rsid w:val="527618D9"/>
    <w:rsid w:val="53AC7EF9"/>
    <w:rsid w:val="548E4938"/>
    <w:rsid w:val="5492094F"/>
    <w:rsid w:val="55292147"/>
    <w:rsid w:val="554A20E9"/>
    <w:rsid w:val="56346769"/>
    <w:rsid w:val="56611E44"/>
    <w:rsid w:val="56627E15"/>
    <w:rsid w:val="5703744E"/>
    <w:rsid w:val="573C54F1"/>
    <w:rsid w:val="574C57C8"/>
    <w:rsid w:val="576A1E33"/>
    <w:rsid w:val="57C132A2"/>
    <w:rsid w:val="57DF5B38"/>
    <w:rsid w:val="57EF3BD4"/>
    <w:rsid w:val="5806079B"/>
    <w:rsid w:val="58950ABB"/>
    <w:rsid w:val="59545699"/>
    <w:rsid w:val="595A2E26"/>
    <w:rsid w:val="5AA62DB3"/>
    <w:rsid w:val="5AC239FC"/>
    <w:rsid w:val="5B304FAA"/>
    <w:rsid w:val="5BEB56DE"/>
    <w:rsid w:val="5BFE68FD"/>
    <w:rsid w:val="5C1874A6"/>
    <w:rsid w:val="5C1F2A30"/>
    <w:rsid w:val="5D433711"/>
    <w:rsid w:val="5DA32CC7"/>
    <w:rsid w:val="5E490A40"/>
    <w:rsid w:val="5EFC502C"/>
    <w:rsid w:val="5F5D54D9"/>
    <w:rsid w:val="60222736"/>
    <w:rsid w:val="60566582"/>
    <w:rsid w:val="60746A4B"/>
    <w:rsid w:val="609332C8"/>
    <w:rsid w:val="60F4061E"/>
    <w:rsid w:val="615A508A"/>
    <w:rsid w:val="61983092"/>
    <w:rsid w:val="61B23ED4"/>
    <w:rsid w:val="62230D10"/>
    <w:rsid w:val="628F105C"/>
    <w:rsid w:val="62B61917"/>
    <w:rsid w:val="633C1989"/>
    <w:rsid w:val="64521701"/>
    <w:rsid w:val="64DC4D3B"/>
    <w:rsid w:val="64E67B9D"/>
    <w:rsid w:val="650258C5"/>
    <w:rsid w:val="666A3B93"/>
    <w:rsid w:val="67061813"/>
    <w:rsid w:val="67413BF6"/>
    <w:rsid w:val="67554E15"/>
    <w:rsid w:val="67686034"/>
    <w:rsid w:val="676B71AA"/>
    <w:rsid w:val="680A026F"/>
    <w:rsid w:val="68367986"/>
    <w:rsid w:val="687C2679"/>
    <w:rsid w:val="68952797"/>
    <w:rsid w:val="68C23534"/>
    <w:rsid w:val="68C65186"/>
    <w:rsid w:val="68D61A8E"/>
    <w:rsid w:val="68D64461"/>
    <w:rsid w:val="69B14770"/>
    <w:rsid w:val="69B30178"/>
    <w:rsid w:val="6ACA793F"/>
    <w:rsid w:val="6B583472"/>
    <w:rsid w:val="6BD31477"/>
    <w:rsid w:val="6BE434F4"/>
    <w:rsid w:val="6C0B10CC"/>
    <w:rsid w:val="6C4964C1"/>
    <w:rsid w:val="6C693B68"/>
    <w:rsid w:val="6CA31366"/>
    <w:rsid w:val="6CA762F4"/>
    <w:rsid w:val="6CBA5EF1"/>
    <w:rsid w:val="6CE44CF2"/>
    <w:rsid w:val="6CF959D6"/>
    <w:rsid w:val="6D265990"/>
    <w:rsid w:val="6DA3557D"/>
    <w:rsid w:val="6E0806D8"/>
    <w:rsid w:val="6EE25F09"/>
    <w:rsid w:val="6F383D07"/>
    <w:rsid w:val="6F4C2580"/>
    <w:rsid w:val="703F3234"/>
    <w:rsid w:val="70450F96"/>
    <w:rsid w:val="70FB13E9"/>
    <w:rsid w:val="7198476A"/>
    <w:rsid w:val="71C07EAD"/>
    <w:rsid w:val="71C61DB6"/>
    <w:rsid w:val="72920205"/>
    <w:rsid w:val="738E2A53"/>
    <w:rsid w:val="739D2682"/>
    <w:rsid w:val="73D82BA3"/>
    <w:rsid w:val="74040D51"/>
    <w:rsid w:val="740555A5"/>
    <w:rsid w:val="74624BFD"/>
    <w:rsid w:val="74C63C14"/>
    <w:rsid w:val="74CE55B2"/>
    <w:rsid w:val="74D05A8B"/>
    <w:rsid w:val="7556678F"/>
    <w:rsid w:val="759D6F04"/>
    <w:rsid w:val="76C678ED"/>
    <w:rsid w:val="782832E0"/>
    <w:rsid w:val="785E6707"/>
    <w:rsid w:val="78F57EFF"/>
    <w:rsid w:val="79023B14"/>
    <w:rsid w:val="795B3127"/>
    <w:rsid w:val="79730C57"/>
    <w:rsid w:val="79AA6729"/>
    <w:rsid w:val="7A4B62B3"/>
    <w:rsid w:val="7A872F74"/>
    <w:rsid w:val="7AB921BD"/>
    <w:rsid w:val="7AEC324F"/>
    <w:rsid w:val="7AEF5086"/>
    <w:rsid w:val="7B207DFD"/>
    <w:rsid w:val="7B850996"/>
    <w:rsid w:val="7B992EAF"/>
    <w:rsid w:val="7B9A5BD4"/>
    <w:rsid w:val="7C6E09B7"/>
    <w:rsid w:val="7C856EFA"/>
    <w:rsid w:val="7D011CA4"/>
    <w:rsid w:val="7DF45DB4"/>
    <w:rsid w:val="7E223F90"/>
    <w:rsid w:val="7E383674"/>
    <w:rsid w:val="7EF014CF"/>
    <w:rsid w:val="7F086E7D"/>
    <w:rsid w:val="7F8D739D"/>
    <w:rsid w:val="7FC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unhideWhenUsed/>
    <w:qFormat/>
    <w:uiPriority w:val="99"/>
    <w:pPr>
      <w:spacing w:beforeAutospacing="1" w:afterAutospacing="1"/>
      <w:jc w:val="left"/>
    </w:pPr>
    <w:rPr>
      <w:color w:val="CC0000"/>
      <w:kern w:val="0"/>
      <w:sz w:val="24"/>
      <w:u w:val="single"/>
    </w:rPr>
  </w:style>
  <w:style w:type="paragraph" w:customStyle="1" w:styleId="9">
    <w:name w:val="列出段落1"/>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 w:type="paragraph" w:customStyle="1" w:styleId="13">
    <w:name w:val="列出段落11"/>
    <w:basedOn w:val="1"/>
    <w:qFormat/>
    <w:uiPriority w:val="34"/>
    <w:pPr>
      <w:ind w:firstLine="420" w:firstLineChars="200"/>
    </w:p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87</Words>
  <Characters>498</Characters>
  <Lines>4</Lines>
  <Paragraphs>1</Paragraphs>
  <TotalTime>0</TotalTime>
  <ScaleCrop>false</ScaleCrop>
  <LinksUpToDate>false</LinksUpToDate>
  <CharactersWithSpaces>584</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2016-11-23T00:43:00Z</dcterms:created>
  <dc:creator>SDWM</dc:creator>
  <cp:lastModifiedBy>Administrator</cp:lastModifiedBy>
  <cp:lastPrinted>2018-01-03T05:04:00Z</cp:lastPrinted>
  <dcterms:modified xsi:type="dcterms:W3CDTF">2019-03-19T06:34:33Z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