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360" w:lineRule="auto"/>
        <w:ind w:firstLine="883" w:firstLineChars="200"/>
        <w:jc w:val="left"/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u w:val="none"/>
          <w:lang w:val="en-US" w:eastAsia="zh-CN"/>
        </w:rPr>
        <w:t>关于部分检验项目的说明</w:t>
      </w: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一、菌落总数</w:t>
      </w:r>
    </w:p>
    <w:p>
      <w:pPr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菌落总数是指示性微生物指标，主要用来评价食品清洁度，反映食品在生产过程中是否符合卫生要求。</w:t>
      </w:r>
      <w:r>
        <w:rPr>
          <w:rFonts w:hint="eastAsia" w:ascii="宋体" w:hAnsi="宋体" w:eastAsia="宋体" w:cs="宋体"/>
          <w:sz w:val="32"/>
          <w:szCs w:val="32"/>
        </w:rPr>
        <w:t>《食品安全国家标准 冲调谷物制品》（GB 19640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</w:rPr>
        <w:t>2016）中规定，</w:t>
      </w:r>
      <w:r>
        <w:rPr>
          <w:rFonts w:hint="eastAsia" w:ascii="宋体" w:hAnsi="宋体" w:eastAsia="宋体" w:cs="宋体"/>
          <w:bCs/>
          <w:sz w:val="32"/>
          <w:szCs w:val="32"/>
        </w:rPr>
        <w:t>同批次5个独立包装产品中菌落总数</w:t>
      </w:r>
      <w:r>
        <w:rPr>
          <w:rFonts w:hint="eastAsia" w:ascii="宋体" w:hAnsi="宋体" w:eastAsia="宋体" w:cs="宋体"/>
          <w:sz w:val="32"/>
          <w:szCs w:val="32"/>
        </w:rPr>
        <w:t>的检测结果不允许有超过10</w:t>
      </w:r>
      <w:r>
        <w:rPr>
          <w:rFonts w:hint="eastAsia" w:ascii="宋体" w:hAnsi="宋体" w:eastAsia="宋体" w:cs="宋体"/>
          <w:sz w:val="32"/>
          <w:szCs w:val="32"/>
          <w:vertAlign w:val="superscript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CFU/g的，且至少3个包装产品检测结果不超过10</w:t>
      </w:r>
      <w:r>
        <w:rPr>
          <w:rFonts w:hint="eastAsia" w:ascii="宋体" w:hAnsi="宋体" w:eastAsia="宋体" w:cs="宋体"/>
          <w:sz w:val="32"/>
          <w:szCs w:val="32"/>
          <w:vertAlign w:val="superscript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CFU/g。《食品安全国家标准 蜜饯》（GB 14884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 w:val="32"/>
          <w:szCs w:val="32"/>
        </w:rPr>
        <w:t>2016）中规定，</w:t>
      </w:r>
      <w:r>
        <w:rPr>
          <w:rFonts w:hint="eastAsia" w:ascii="宋体" w:hAnsi="宋体" w:eastAsia="宋体" w:cs="宋体"/>
          <w:kern w:val="0"/>
          <w:sz w:val="32"/>
          <w:szCs w:val="32"/>
        </w:rPr>
        <w:t>蜜饯中的菌落总数5次检测结果均不得超过10</w:t>
      </w:r>
      <w:r>
        <w:rPr>
          <w:rFonts w:hint="eastAsia" w:ascii="宋体" w:hAnsi="宋体" w:eastAsia="宋体" w:cs="宋体"/>
          <w:kern w:val="0"/>
          <w:sz w:val="32"/>
          <w:szCs w:val="32"/>
          <w:vertAlign w:val="superscript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CFU/g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且至少3次检测结果不超过10</w:t>
      </w:r>
      <w:r>
        <w:rPr>
          <w:rFonts w:hint="eastAsia" w:ascii="宋体" w:hAnsi="宋体" w:eastAsia="宋体" w:cs="宋体"/>
          <w:kern w:val="0"/>
          <w:sz w:val="32"/>
          <w:szCs w:val="32"/>
          <w:vertAlign w:val="superscript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CFU/g。造成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菌落总数超标的原因，可能是个别企业未按要求严格控制生产加工过程的卫生条件，或者包装容器清洗消毒不到位；还有可能与产品包装密封不严，储运条件控制不当等有关。</w:t>
      </w:r>
    </w:p>
    <w:p>
      <w:pPr>
        <w:numPr>
          <w:numId w:val="0"/>
        </w:numPr>
        <w:ind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二、</w:t>
      </w:r>
      <w:r>
        <w:rPr>
          <w:rFonts w:hint="eastAsia" w:ascii="宋体" w:hAnsi="宋体" w:cs="宋体"/>
          <w:b/>
          <w:bCs/>
          <w:sz w:val="32"/>
          <w:szCs w:val="32"/>
        </w:rPr>
        <w:t>脱氢乙酸及其钠盐（以脱氢乙酸计）</w:t>
      </w:r>
    </w:p>
    <w:p>
      <w:pPr>
        <w:wordWrap/>
        <w:adjustRightInd/>
        <w:snapToGrid/>
        <w:spacing w:line="640" w:lineRule="exact"/>
        <w:ind w:firstLine="640" w:firstLineChars="200"/>
        <w:jc w:val="left"/>
        <w:outlineLvl w:val="9"/>
        <w:rPr>
          <w:rFonts w:eastAsia="黑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脱氢乙酸及其钠盐广泛用</w:t>
      </w:r>
      <w:r>
        <w:rPr>
          <w:rFonts w:hint="eastAsia" w:ascii="宋体" w:hAnsi="宋体" w:cs="宋体"/>
          <w:sz w:val="32"/>
          <w:szCs w:val="32"/>
          <w:lang w:eastAsia="zh-CN"/>
        </w:rPr>
        <w:t>于食品</w:t>
      </w:r>
      <w:r>
        <w:rPr>
          <w:rFonts w:hint="eastAsia" w:ascii="宋体" w:hAnsi="宋体" w:eastAsia="宋体" w:cs="宋体"/>
          <w:sz w:val="32"/>
          <w:szCs w:val="32"/>
        </w:rPr>
        <w:t>防腐，对霉菌具有较强的抑制作用。</w:t>
      </w:r>
      <w:r>
        <w:rPr>
          <w:rFonts w:hint="eastAsia" w:ascii="宋体" w:hAnsi="宋体" w:cs="宋体"/>
          <w:sz w:val="32"/>
          <w:szCs w:val="32"/>
          <w:lang w:eastAsia="zh-CN"/>
        </w:rPr>
        <w:t>造成</w:t>
      </w:r>
      <w:r>
        <w:rPr>
          <w:rFonts w:hint="eastAsia" w:ascii="宋体" w:hAnsi="宋体" w:eastAsia="宋体" w:cs="宋体"/>
          <w:sz w:val="32"/>
          <w:szCs w:val="32"/>
        </w:rPr>
        <w:t>脱氢乙酸及其钠盐不合格的原因</w:t>
      </w:r>
      <w:r>
        <w:rPr>
          <w:rFonts w:hint="eastAsia" w:ascii="宋体" w:hAnsi="宋体" w:cs="宋体"/>
          <w:sz w:val="32"/>
          <w:szCs w:val="32"/>
          <w:lang w:eastAsia="zh-CN"/>
        </w:rPr>
        <w:t>：一是</w:t>
      </w:r>
      <w:r>
        <w:rPr>
          <w:rFonts w:hint="eastAsia" w:ascii="宋体" w:hAnsi="宋体" w:eastAsia="宋体" w:cs="宋体"/>
          <w:sz w:val="32"/>
          <w:szCs w:val="32"/>
        </w:rPr>
        <w:t>生产企业为防止食品腐败变质，</w:t>
      </w:r>
      <w:r>
        <w:rPr>
          <w:rFonts w:hint="eastAsia" w:ascii="宋体" w:hAnsi="宋体" w:cs="宋体"/>
          <w:sz w:val="32"/>
          <w:szCs w:val="32"/>
          <w:lang w:eastAsia="zh-CN"/>
        </w:rPr>
        <w:t>增加产品保持期，</w:t>
      </w:r>
      <w:r>
        <w:rPr>
          <w:rFonts w:hint="eastAsia" w:ascii="宋体" w:hAnsi="宋体" w:eastAsia="宋体" w:cs="宋体"/>
          <w:sz w:val="32"/>
          <w:szCs w:val="32"/>
        </w:rPr>
        <w:t>超限量使用了脱氢乙酸及其钠盐</w:t>
      </w:r>
      <w:r>
        <w:rPr>
          <w:rFonts w:hint="eastAsia" w:ascii="宋体" w:hAnsi="宋体" w:cs="宋体"/>
          <w:sz w:val="32"/>
          <w:szCs w:val="32"/>
          <w:lang w:eastAsia="zh-CN"/>
        </w:rPr>
        <w:t>；二是生产企业在使用</w:t>
      </w:r>
      <w:r>
        <w:rPr>
          <w:rFonts w:hint="eastAsia" w:ascii="宋体" w:hAnsi="宋体" w:eastAsia="宋体" w:cs="宋体"/>
          <w:sz w:val="32"/>
          <w:szCs w:val="32"/>
        </w:rPr>
        <w:t>脱氢乙酸及其钠盐</w:t>
      </w:r>
      <w:r>
        <w:rPr>
          <w:rFonts w:hint="eastAsia" w:ascii="宋体" w:hAnsi="宋体" w:cs="宋体"/>
          <w:sz w:val="32"/>
          <w:szCs w:val="32"/>
          <w:lang w:eastAsia="zh-CN"/>
        </w:rPr>
        <w:t>时</w:t>
      </w:r>
      <w:r>
        <w:rPr>
          <w:rFonts w:ascii="宋体" w:hAnsi="宋体" w:eastAsia="宋体"/>
          <w:sz w:val="32"/>
          <w:szCs w:val="32"/>
        </w:rPr>
        <w:t>未</w:t>
      </w:r>
      <w:r>
        <w:rPr>
          <w:rFonts w:hint="eastAsia" w:ascii="宋体" w:hAnsi="宋体"/>
          <w:sz w:val="32"/>
          <w:szCs w:val="32"/>
          <w:lang w:eastAsia="zh-CN"/>
        </w:rPr>
        <w:t>能</w:t>
      </w:r>
      <w:r>
        <w:rPr>
          <w:rFonts w:ascii="宋体" w:hAnsi="宋体" w:eastAsia="宋体"/>
          <w:sz w:val="32"/>
          <w:szCs w:val="32"/>
        </w:rPr>
        <w:t>准确计量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三、</w:t>
      </w:r>
      <w:r>
        <w:rPr>
          <w:rFonts w:hint="eastAsia" w:ascii="宋体" w:hAnsi="宋体" w:cs="宋体"/>
          <w:b/>
          <w:bCs/>
          <w:sz w:val="32"/>
          <w:szCs w:val="32"/>
        </w:rPr>
        <w:t>苯甲酸及其钠盐（以苯甲酸计）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苯甲酸及其钠盐是食品工业中常见的防腐保鲜剂，对霉菌、酵母和细菌有较好的抑制作用。苯甲酸及其钠盐的安全性较高，少量苯甲酸对人体无毒害，可随尿液排出体外，在人体内不会蓄积。若长期过量食入苯甲酸超标的食品可能会对肝脏功能产</w:t>
      </w:r>
      <w:r>
        <w:rPr>
          <w:rFonts w:ascii="宋体" w:hAnsi="宋体" w:eastAsia="宋体"/>
          <w:spacing w:val="14"/>
          <w:sz w:val="32"/>
          <w:szCs w:val="32"/>
        </w:rPr>
        <w:t>生一定影响</w:t>
      </w:r>
      <w:r>
        <w:rPr>
          <w:rFonts w:hint="eastAsia" w:ascii="宋体" w:hAnsi="宋体" w:eastAsia="宋体"/>
          <w:spacing w:val="14"/>
          <w:sz w:val="32"/>
          <w:szCs w:val="32"/>
        </w:rPr>
        <w:t>。</w:t>
      </w:r>
      <w:r>
        <w:rPr>
          <w:rFonts w:ascii="宋体" w:hAnsi="宋体" w:eastAsia="宋体"/>
          <w:sz w:val="32"/>
          <w:szCs w:val="32"/>
        </w:rPr>
        <w:t>苯甲酸及其钠盐超标的原因</w:t>
      </w:r>
      <w:r>
        <w:rPr>
          <w:rFonts w:hint="eastAsia" w:ascii="宋体" w:hAnsi="宋体"/>
          <w:sz w:val="32"/>
          <w:szCs w:val="32"/>
          <w:lang w:eastAsia="zh-CN"/>
        </w:rPr>
        <w:t>：一是</w:t>
      </w:r>
      <w:r>
        <w:rPr>
          <w:rFonts w:ascii="宋体" w:hAnsi="宋体" w:eastAsia="宋体"/>
          <w:sz w:val="32"/>
          <w:szCs w:val="32"/>
        </w:rPr>
        <w:t>企业为增加产品保质期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ascii="宋体" w:hAnsi="宋体" w:eastAsia="宋体"/>
          <w:sz w:val="32"/>
          <w:szCs w:val="32"/>
        </w:rPr>
        <w:t>或</w:t>
      </w:r>
      <w:r>
        <w:rPr>
          <w:rFonts w:hint="eastAsia" w:ascii="宋体" w:hAnsi="宋体"/>
          <w:sz w:val="32"/>
          <w:szCs w:val="32"/>
          <w:lang w:eastAsia="zh-CN"/>
        </w:rPr>
        <w:t>为</w:t>
      </w:r>
      <w:r>
        <w:rPr>
          <w:rFonts w:ascii="宋体" w:hAnsi="宋体" w:eastAsia="宋体"/>
          <w:sz w:val="32"/>
          <w:szCs w:val="32"/>
        </w:rPr>
        <w:t>弥补产品生产过程</w:t>
      </w:r>
      <w:r>
        <w:rPr>
          <w:rFonts w:hint="eastAsia" w:ascii="宋体" w:hAnsi="宋体"/>
          <w:sz w:val="32"/>
          <w:szCs w:val="32"/>
          <w:lang w:eastAsia="zh-CN"/>
        </w:rPr>
        <w:t>中</w:t>
      </w:r>
      <w:r>
        <w:rPr>
          <w:rFonts w:ascii="宋体" w:hAnsi="宋体" w:eastAsia="宋体"/>
          <w:sz w:val="32"/>
          <w:szCs w:val="32"/>
        </w:rPr>
        <w:t>卫生条件</w:t>
      </w:r>
      <w:r>
        <w:rPr>
          <w:rFonts w:hint="eastAsia" w:ascii="宋体" w:hAnsi="宋体"/>
          <w:sz w:val="32"/>
          <w:szCs w:val="32"/>
          <w:lang w:eastAsia="zh-CN"/>
        </w:rPr>
        <w:t>差</w:t>
      </w:r>
      <w:r>
        <w:rPr>
          <w:rFonts w:ascii="宋体" w:hAnsi="宋体" w:eastAsia="宋体"/>
          <w:sz w:val="32"/>
          <w:szCs w:val="32"/>
        </w:rPr>
        <w:t>而超限量使用</w:t>
      </w:r>
      <w:r>
        <w:rPr>
          <w:rFonts w:hint="eastAsia" w:ascii="宋体" w:hAnsi="宋体"/>
          <w:sz w:val="32"/>
          <w:szCs w:val="32"/>
          <w:lang w:eastAsia="zh-CN"/>
        </w:rPr>
        <w:t>；二是企业在使用时</w:t>
      </w:r>
      <w:r>
        <w:rPr>
          <w:rFonts w:ascii="宋体" w:hAnsi="宋体" w:eastAsia="宋体"/>
          <w:sz w:val="32"/>
          <w:szCs w:val="32"/>
        </w:rPr>
        <w:t>未</w:t>
      </w:r>
      <w:r>
        <w:rPr>
          <w:rFonts w:hint="eastAsia" w:ascii="宋体" w:hAnsi="宋体"/>
          <w:sz w:val="32"/>
          <w:szCs w:val="32"/>
          <w:lang w:eastAsia="zh-CN"/>
        </w:rPr>
        <w:t>能</w:t>
      </w:r>
      <w:r>
        <w:rPr>
          <w:rFonts w:ascii="宋体" w:hAnsi="宋体" w:eastAsia="宋体"/>
          <w:sz w:val="32"/>
          <w:szCs w:val="32"/>
        </w:rPr>
        <w:t>准确计量。</w:t>
      </w:r>
    </w:p>
    <w:p>
      <w:pPr>
        <w:pStyle w:val="9"/>
        <w:spacing w:line="600" w:lineRule="exact"/>
        <w:ind w:firstLine="64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二氧化硫残留量</w:t>
      </w:r>
    </w:p>
    <w:p>
      <w:pPr>
        <w:numPr>
          <w:numId w:val="0"/>
        </w:numPr>
        <w:ind w:firstLine="640"/>
        <w:jc w:val="left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氧化硫是国内外允许使用的一种食品添加剂，通常情况下以焦亚硫酸钾、焦亚硫酸钠、亚硫酸钠、亚硫酸氢钠、低亚硫酸钠等亚硫酸盐的形式添加于食品中，或采用硫磺熏蒸的方式用于食品加工处理，具有漂白、防腐和抗氧化的作用。二氧化硫进入人体后最终转化为硫酸盐并随尿液排出体外，少量摄入不会对身体带来健康危害，但若过量食用可能引起如恶心、呕吐等胃肠道反应。《食品安全国家标准 食品添加剂使用标准》（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GB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2760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>2014</w:t>
      </w:r>
      <w:r>
        <w:rPr>
          <w:rFonts w:hint="eastAsia" w:ascii="宋体" w:hAnsi="宋体" w:eastAsia="宋体" w:cs="宋体"/>
          <w:sz w:val="32"/>
          <w:szCs w:val="32"/>
        </w:rPr>
        <w:t>）中规定，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腌渍的蔬菜中二氧化硫残留量不应超过0.1g/kg。不合格原因主要在于生产加工过程未加以严格管控，超限量使用相关食品添加剂。</w:t>
      </w:r>
    </w:p>
    <w:p>
      <w:pPr>
        <w:pStyle w:val="5"/>
        <w:shd w:val="clear" w:color="auto" w:fill="FFFFFF"/>
        <w:spacing w:line="435" w:lineRule="atLeast"/>
        <w:ind w:firstLine="640" w:firstLineChars="200"/>
        <w:jc w:val="left"/>
        <w:rPr>
          <w:rFonts w:hint="eastAsia" w:ascii="宋体" w:hAnsi="宋体" w:cs="宋体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于精波</cp:lastModifiedBy>
  <cp:lastPrinted>2019-01-22T01:02:00Z</cp:lastPrinted>
  <dcterms:modified xsi:type="dcterms:W3CDTF">2019-03-18T02:06:35Z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