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  <w:lang w:eastAsia="zh-CN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2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u w:val="none"/>
          <w:lang w:val="en-US" w:eastAsia="zh-CN"/>
        </w:rPr>
        <w:t>关于部分检验项目的说明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ind w:right="0" w:firstLine="640" w:firstLineChars="200"/>
        <w:jc w:val="both"/>
        <w:textAlignment w:val="auto"/>
        <w:outlineLvl w:val="9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一、菌落总数</w:t>
      </w:r>
    </w:p>
    <w:p>
      <w:pPr>
        <w:numPr>
          <w:numId w:val="0"/>
        </w:numPr>
        <w:jc w:val="both"/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  菌落总数是指示性微生物，并非致病菌，主要用来评价食品清洁度，反映食品在生产过程中是否符合卫生要求。菌落总数超标可能由于原料、包材或生产加工过程受微生物污染，生产加工过程中工艺把关不严，人员、设备和环境的清洗消毒不到位，产品杀菌不彻底或在储运过程中未能持续保持储运条件等原因造成。</w:t>
      </w:r>
    </w:p>
    <w:p>
      <w:pPr>
        <w:pStyle w:val="5"/>
        <w:shd w:val="clear" w:color="auto" w:fill="FFFFFF"/>
        <w:spacing w:line="435" w:lineRule="atLeast"/>
        <w:ind w:firstLine="640" w:firstLineChars="200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二、N-二甲基亚硝胺</w:t>
      </w:r>
    </w:p>
    <w:p>
      <w:pPr>
        <w:pStyle w:val="5"/>
        <w:shd w:val="clear" w:color="auto" w:fill="FFFFFF"/>
        <w:spacing w:line="435" w:lineRule="atLeast"/>
        <w:ind w:firstLine="640" w:firstLineChars="20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N-二甲基亚硝胺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是N-亚硝胺类化合物的一种。食品中N-二甲基亚硝胺超标，</w:t>
      </w:r>
      <w:r>
        <w:rPr>
          <w:rFonts w:hint="eastAsia" w:cs="宋体"/>
          <w:sz w:val="32"/>
          <w:szCs w:val="32"/>
          <w:lang w:val="en-US" w:eastAsia="zh-CN"/>
        </w:rPr>
        <w:t>表明</w:t>
      </w:r>
      <w:r>
        <w:rPr>
          <w:rFonts w:hint="eastAsia" w:ascii="宋体" w:hAnsi="宋体" w:cs="宋体"/>
          <w:sz w:val="32"/>
          <w:szCs w:val="32"/>
          <w:lang w:val="en-US" w:eastAsia="zh-CN"/>
        </w:rPr>
        <w:t>该食品卫生状况不达标。</w:t>
      </w:r>
      <w:r>
        <w:rPr>
          <w:rFonts w:hint="eastAsia" w:cs="宋体"/>
          <w:sz w:val="32"/>
          <w:szCs w:val="32"/>
          <w:lang w:val="en-US" w:eastAsia="zh-CN"/>
        </w:rPr>
        <w:t>食用</w:t>
      </w:r>
      <w:r>
        <w:rPr>
          <w:rFonts w:hint="eastAsia" w:ascii="宋体" w:hAnsi="宋体" w:cs="宋体"/>
          <w:sz w:val="32"/>
          <w:szCs w:val="32"/>
          <w:lang w:val="en-US" w:eastAsia="zh-CN"/>
        </w:rPr>
        <w:t>N-二甲基亚硝胺</w:t>
      </w:r>
      <w:r>
        <w:rPr>
          <w:rFonts w:hint="eastAsia" w:cs="宋体"/>
          <w:sz w:val="32"/>
          <w:szCs w:val="32"/>
          <w:lang w:val="en-US" w:eastAsia="zh-CN"/>
        </w:rPr>
        <w:t>含量不超标的食物，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不会对身体</w:t>
      </w:r>
      <w:r>
        <w:rPr>
          <w:rFonts w:hint="eastAsia" w:cs="宋体"/>
          <w:sz w:val="32"/>
          <w:szCs w:val="32"/>
          <w:lang w:val="en-US" w:eastAsia="zh-CN"/>
        </w:rPr>
        <w:t>造成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健康危害，但一次摄入N-亚硝基化合物含量</w:t>
      </w:r>
      <w:r>
        <w:rPr>
          <w:rFonts w:hint="eastAsia" w:cs="宋体"/>
          <w:sz w:val="32"/>
          <w:szCs w:val="32"/>
          <w:lang w:val="en-US" w:eastAsia="zh-CN"/>
        </w:rPr>
        <w:t>较多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或多次摄入</w:t>
      </w:r>
      <w:r>
        <w:rPr>
          <w:rFonts w:hint="eastAsia" w:cs="宋体"/>
          <w:sz w:val="32"/>
          <w:szCs w:val="32"/>
          <w:lang w:val="en-US" w:eastAsia="zh-CN"/>
        </w:rPr>
        <w:t>含</w:t>
      </w:r>
      <w:r>
        <w:rPr>
          <w:rFonts w:hint="eastAsia" w:ascii="宋体" w:hAnsi="宋体" w:cs="宋体"/>
          <w:sz w:val="32"/>
          <w:szCs w:val="32"/>
          <w:lang w:val="en-US" w:eastAsia="zh-CN"/>
        </w:rPr>
        <w:t>N-亚硝基化合物</w:t>
      </w:r>
      <w:r>
        <w:rPr>
          <w:rFonts w:hint="eastAsia" w:cs="宋体"/>
          <w:sz w:val="32"/>
          <w:szCs w:val="32"/>
          <w:lang w:val="en-US" w:eastAsia="zh-CN"/>
        </w:rPr>
        <w:t>超标的食物</w:t>
      </w:r>
      <w:r>
        <w:rPr>
          <w:rFonts w:hint="eastAsia" w:ascii="宋体" w:hAnsi="宋体" w:cs="宋体"/>
          <w:sz w:val="32"/>
          <w:szCs w:val="32"/>
          <w:lang w:val="en-US" w:eastAsia="zh-CN"/>
        </w:rPr>
        <w:t>，可</w:t>
      </w:r>
      <w:r>
        <w:rPr>
          <w:rFonts w:hint="eastAsia" w:cs="宋体"/>
          <w:sz w:val="32"/>
          <w:szCs w:val="32"/>
          <w:lang w:val="en-US" w:eastAsia="zh-CN"/>
        </w:rPr>
        <w:t>能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引起急性中毒</w:t>
      </w:r>
      <w:r>
        <w:rPr>
          <w:rFonts w:hint="eastAsia" w:cs="宋体"/>
          <w:sz w:val="32"/>
          <w:szCs w:val="32"/>
          <w:lang w:val="en-US" w:eastAsia="zh-CN"/>
        </w:rPr>
        <w:t>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主要症状为头晕、乏力、肝实质病变等。</w:t>
      </w:r>
      <w:r>
        <w:rPr>
          <w:rFonts w:hint="eastAsia" w:cs="宋体"/>
          <w:sz w:val="32"/>
          <w:szCs w:val="32"/>
          <w:lang w:val="en-US" w:eastAsia="zh-CN"/>
        </w:rPr>
        <w:t>超标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原因可能</w:t>
      </w:r>
      <w:r>
        <w:rPr>
          <w:rFonts w:hint="eastAsia" w:cs="宋体"/>
          <w:sz w:val="32"/>
          <w:szCs w:val="32"/>
          <w:lang w:val="en-US" w:eastAsia="zh-CN"/>
        </w:rPr>
        <w:t>是用于生产该批次食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品</w:t>
      </w:r>
      <w:r>
        <w:rPr>
          <w:rFonts w:hint="eastAsia" w:cs="宋体"/>
          <w:sz w:val="32"/>
          <w:szCs w:val="32"/>
          <w:lang w:val="en-US" w:eastAsia="zh-CN"/>
        </w:rPr>
        <w:t>的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原料腐败所致</w:t>
      </w:r>
      <w:r>
        <w:rPr>
          <w:rFonts w:hint="eastAsia" w:cs="宋体"/>
          <w:sz w:val="32"/>
          <w:szCs w:val="32"/>
          <w:lang w:val="en-US" w:eastAsia="zh-CN"/>
        </w:rPr>
        <w:t>；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lang w:val="en-US" w:eastAsia="zh-CN"/>
        </w:rPr>
        <w:t>或者是生产企业在腌制、熏、腊等加工过程中工艺控制不严</w:t>
      </w:r>
      <w:r>
        <w:rPr>
          <w:rFonts w:hint="eastAsia" w:cs="宋体"/>
          <w:sz w:val="32"/>
          <w:szCs w:val="32"/>
          <w:lang w:val="en-US" w:eastAsia="zh-CN"/>
        </w:rPr>
        <w:t>。</w:t>
      </w:r>
    </w:p>
    <w:p>
      <w:pPr>
        <w:pStyle w:val="5"/>
        <w:shd w:val="clear" w:color="auto" w:fill="FFFFFF"/>
        <w:spacing w:line="435" w:lineRule="atLeast"/>
        <w:ind w:firstLine="640" w:firstLineChars="200"/>
        <w:rPr>
          <w:rFonts w:hint="eastAsia" w:ascii="宋体" w:hAnsi="宋体" w:cs="宋体"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928" w:right="1531" w:bottom="181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color w:val="CC0000"/>
      <w:kern w:val="0"/>
      <w:sz w:val="24"/>
      <w:u w:val="single"/>
      <w:lang w:val="en-US" w:eastAsia="zh-CN" w:bidi="ar-SA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7</Pages>
  <Words>2941</Words>
  <Characters>3435</Characters>
  <Lines>139</Lines>
  <Paragraphs>44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2016-11-23T00:43:00Z</dcterms:created>
  <dc:creator>SDWM</dc:creator>
  <cp:lastModifiedBy>于精波</cp:lastModifiedBy>
  <cp:lastPrinted>2019-01-22T01:02:00Z</cp:lastPrinted>
  <dcterms:modified xsi:type="dcterms:W3CDTF">2019-01-22T03:05:27Z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