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b/>
          <w:bCs/>
          <w:sz w:val="28"/>
          <w:szCs w:val="28"/>
        </w:rPr>
      </w:pPr>
      <w:r>
        <w:rPr>
          <w:rFonts w:hint="eastAsia" w:ascii="宋体" w:hAnsi="宋体" w:cs="宋体"/>
          <w:b/>
          <w:bCs/>
          <w:sz w:val="28"/>
          <w:szCs w:val="28"/>
        </w:rPr>
        <w:t>广东省商用冷柜产品质量监督抽查实施细则</w:t>
      </w:r>
    </w:p>
    <w:p>
      <w:pPr>
        <w:snapToGrid w:val="0"/>
        <w:spacing w:beforeLines="50" w:line="440" w:lineRule="exact"/>
        <w:rPr>
          <w:rFonts w:ascii="宋体"/>
          <w:b/>
          <w:bCs/>
          <w:color w:val="000000"/>
          <w:kern w:val="0"/>
        </w:rPr>
      </w:pPr>
      <w:r>
        <w:rPr>
          <w:rFonts w:ascii="宋体" w:hAnsi="宋体" w:cs="宋体"/>
          <w:b/>
          <w:bCs/>
          <w:color w:val="000000"/>
        </w:rPr>
        <w:t xml:space="preserve">1 </w:t>
      </w:r>
      <w:r>
        <w:rPr>
          <w:rFonts w:hint="eastAsia" w:ascii="宋体" w:hAnsi="宋体" w:cs="宋体"/>
          <w:b/>
          <w:bCs/>
          <w:color w:val="000000"/>
          <w:kern w:val="0"/>
        </w:rPr>
        <w:t>适用范围</w:t>
      </w:r>
    </w:p>
    <w:p>
      <w:pPr>
        <w:snapToGrid w:val="0"/>
        <w:spacing w:line="460" w:lineRule="exact"/>
        <w:ind w:firstLine="403" w:firstLineChars="192"/>
        <w:rPr>
          <w:rFonts w:ascii="宋体"/>
          <w:color w:val="000000"/>
          <w:kern w:val="0"/>
        </w:rPr>
      </w:pPr>
      <w:r>
        <w:rPr>
          <w:rFonts w:hint="eastAsia" w:ascii="宋体" w:hAnsi="宋体" w:cs="宋体"/>
          <w:color w:val="000000"/>
          <w:kern w:val="0"/>
        </w:rPr>
        <w:t>本细则适用于广东省</w:t>
      </w:r>
      <w:r>
        <w:rPr>
          <w:rFonts w:hint="eastAsia" w:cs="宋体"/>
        </w:rPr>
        <w:t>商用冷柜</w:t>
      </w:r>
      <w:r>
        <w:rPr>
          <w:rFonts w:hint="eastAsia" w:ascii="宋体" w:hAnsi="宋体" w:cs="宋体"/>
          <w:color w:val="000000"/>
          <w:kern w:val="0"/>
        </w:rPr>
        <w:t>产品质量监督抽查。细则内容主要包括产品分类、术语和定义、企业产品生产规模划分、检验依据、抽样、检验要求、判定原则、异议处理。</w:t>
      </w:r>
    </w:p>
    <w:p>
      <w:pPr>
        <w:snapToGrid w:val="0"/>
        <w:spacing w:line="460" w:lineRule="exact"/>
        <w:rPr>
          <w:rFonts w:ascii="宋体"/>
          <w:b/>
          <w:bCs/>
          <w:color w:val="000000"/>
          <w:kern w:val="0"/>
        </w:rPr>
      </w:pPr>
      <w:r>
        <w:rPr>
          <w:rFonts w:ascii="宋体" w:hAnsi="宋体" w:cs="宋体"/>
          <w:b/>
          <w:bCs/>
          <w:color w:val="000000"/>
          <w:kern w:val="0"/>
        </w:rPr>
        <w:t xml:space="preserve">2 </w:t>
      </w:r>
      <w:r>
        <w:rPr>
          <w:rFonts w:hint="eastAsia" w:ascii="宋体" w:hAnsi="宋体" w:cs="宋体"/>
          <w:b/>
          <w:bCs/>
          <w:color w:val="000000"/>
          <w:kern w:val="0"/>
        </w:rPr>
        <w:t>产品分类</w:t>
      </w:r>
    </w:p>
    <w:p>
      <w:pPr>
        <w:spacing w:line="460" w:lineRule="exact"/>
        <w:rPr>
          <w:rFonts w:ascii="宋体"/>
          <w:b/>
          <w:bCs/>
          <w:color w:val="000000"/>
          <w:kern w:val="0"/>
        </w:rPr>
      </w:pPr>
      <w:r>
        <w:rPr>
          <w:rFonts w:ascii="宋体" w:hAnsi="宋体" w:cs="宋体"/>
          <w:b/>
          <w:bCs/>
          <w:color w:val="000000"/>
          <w:kern w:val="0"/>
        </w:rPr>
        <w:t xml:space="preserve">2.1 </w:t>
      </w:r>
      <w:r>
        <w:rPr>
          <w:rFonts w:hint="eastAsia" w:ascii="宋体" w:hAnsi="宋体" w:cs="宋体"/>
          <w:b/>
          <w:bCs/>
          <w:color w:val="000000"/>
          <w:kern w:val="0"/>
        </w:rPr>
        <w:t>产品分类及代码</w:t>
      </w:r>
    </w:p>
    <w:p>
      <w:pPr>
        <w:spacing w:line="460" w:lineRule="exact"/>
        <w:ind w:firstLine="420" w:firstLineChars="200"/>
        <w:rPr>
          <w:rFonts w:ascii="宋体"/>
          <w:color w:val="000000"/>
          <w:kern w:val="0"/>
        </w:rPr>
      </w:pPr>
      <w:r>
        <w:rPr>
          <w:rFonts w:hint="eastAsia" w:ascii="宋体" w:hAnsi="宋体" w:cs="宋体"/>
          <w:color w:val="000000"/>
          <w:kern w:val="0"/>
        </w:rPr>
        <w:t>产品分类及代码见表</w:t>
      </w:r>
      <w:r>
        <w:rPr>
          <w:rFonts w:ascii="宋体" w:hAnsi="宋体" w:cs="宋体"/>
          <w:color w:val="000000"/>
          <w:kern w:val="0"/>
        </w:rPr>
        <w:t>1</w:t>
      </w:r>
      <w:r>
        <w:rPr>
          <w:rFonts w:hint="eastAsia" w:ascii="宋体" w:hAnsi="宋体" w:cs="宋体"/>
          <w:color w:val="000000"/>
          <w:kern w:val="0"/>
        </w:rPr>
        <w:t>。</w:t>
      </w:r>
    </w:p>
    <w:p>
      <w:pPr>
        <w:spacing w:line="360" w:lineRule="auto"/>
        <w:jc w:val="center"/>
        <w:rPr>
          <w:rFonts w:ascii="宋体"/>
          <w:b/>
          <w:bCs/>
          <w:color w:val="000000"/>
          <w:kern w:val="0"/>
          <w:sz w:val="21"/>
          <w:szCs w:val="21"/>
        </w:rPr>
      </w:pPr>
      <w:r>
        <w:rPr>
          <w:rFonts w:hint="eastAsia" w:ascii="宋体" w:hAnsi="宋体" w:cs="宋体"/>
          <w:b/>
          <w:bCs/>
          <w:color w:val="000000"/>
          <w:kern w:val="0"/>
          <w:sz w:val="21"/>
          <w:szCs w:val="21"/>
        </w:rPr>
        <w:t>表</w:t>
      </w:r>
      <w:r>
        <w:rPr>
          <w:rFonts w:ascii="宋体" w:hAnsi="宋体" w:cs="宋体"/>
          <w:b/>
          <w:bCs/>
          <w:color w:val="000000"/>
          <w:kern w:val="0"/>
          <w:sz w:val="21"/>
          <w:szCs w:val="21"/>
        </w:rPr>
        <w:t>1</w:t>
      </w:r>
      <w:r>
        <w:rPr>
          <w:rFonts w:hint="eastAsia" w:ascii="宋体" w:hAnsi="宋体" w:cs="宋体"/>
          <w:b/>
          <w:bCs/>
          <w:color w:val="000000"/>
          <w:kern w:val="0"/>
          <w:sz w:val="21"/>
          <w:szCs w:val="21"/>
        </w:rPr>
        <w:t xml:space="preserve">  产品分类及代码</w:t>
      </w:r>
    </w:p>
    <w:tbl>
      <w:tblPr>
        <w:tblStyle w:val="7"/>
        <w:tblW w:w="85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1843"/>
        <w:gridCol w:w="1559"/>
        <w:gridCol w:w="3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jc w:val="center"/>
        </w:trPr>
        <w:tc>
          <w:tcPr>
            <w:tcW w:w="1679" w:type="dxa"/>
            <w:shd w:val="clear" w:color="auto" w:fill="auto"/>
            <w:vAlign w:val="center"/>
          </w:tcPr>
          <w:p>
            <w:pPr>
              <w:widowControl/>
              <w:jc w:val="center"/>
              <w:rPr>
                <w:rFonts w:ascii="宋体" w:hAnsi="宋体"/>
                <w:b/>
                <w:bCs/>
                <w:color w:val="000000"/>
                <w:kern w:val="0"/>
                <w:sz w:val="21"/>
                <w:szCs w:val="21"/>
              </w:rPr>
            </w:pPr>
            <w:r>
              <w:rPr>
                <w:rFonts w:hint="eastAsia" w:ascii="宋体" w:hAnsi="宋体" w:cs="Sim Sun"/>
                <w:kern w:val="0"/>
                <w:sz w:val="21"/>
                <w:szCs w:val="21"/>
              </w:rPr>
              <w:t>产品分类</w:t>
            </w:r>
          </w:p>
        </w:tc>
        <w:tc>
          <w:tcPr>
            <w:tcW w:w="1843" w:type="dxa"/>
            <w:shd w:val="clear" w:color="auto" w:fill="auto"/>
            <w:vAlign w:val="center"/>
          </w:tcPr>
          <w:p>
            <w:pPr>
              <w:widowControl/>
              <w:jc w:val="center"/>
              <w:rPr>
                <w:rFonts w:ascii="宋体" w:hAnsi="宋体"/>
                <w:b/>
                <w:bCs/>
                <w:color w:val="000000"/>
                <w:kern w:val="0"/>
                <w:sz w:val="21"/>
                <w:szCs w:val="21"/>
              </w:rPr>
            </w:pPr>
            <w:r>
              <w:rPr>
                <w:rFonts w:hint="eastAsia" w:ascii="宋体" w:hAnsi="宋体" w:cs="Sim Sun"/>
                <w:kern w:val="0"/>
                <w:sz w:val="21"/>
                <w:szCs w:val="21"/>
              </w:rPr>
              <w:t>一级分类</w:t>
            </w:r>
          </w:p>
        </w:tc>
        <w:tc>
          <w:tcPr>
            <w:tcW w:w="1559" w:type="dxa"/>
            <w:shd w:val="clear" w:color="auto" w:fill="auto"/>
            <w:vAlign w:val="center"/>
          </w:tcPr>
          <w:p>
            <w:pPr>
              <w:widowControl/>
              <w:jc w:val="center"/>
              <w:rPr>
                <w:rFonts w:ascii="宋体" w:hAnsi="宋体"/>
                <w:b/>
                <w:bCs/>
                <w:color w:val="000000"/>
                <w:kern w:val="0"/>
                <w:sz w:val="21"/>
                <w:szCs w:val="21"/>
              </w:rPr>
            </w:pPr>
            <w:r>
              <w:rPr>
                <w:rFonts w:hint="eastAsia" w:ascii="宋体" w:hAnsi="宋体" w:cs="Sim Sun"/>
                <w:kern w:val="0"/>
                <w:sz w:val="21"/>
                <w:szCs w:val="21"/>
              </w:rPr>
              <w:t>二级分类</w:t>
            </w:r>
          </w:p>
        </w:tc>
        <w:tc>
          <w:tcPr>
            <w:tcW w:w="3462" w:type="dxa"/>
            <w:shd w:val="clear" w:color="auto" w:fill="auto"/>
            <w:vAlign w:val="center"/>
          </w:tcPr>
          <w:p>
            <w:pPr>
              <w:widowControl/>
              <w:jc w:val="center"/>
              <w:rPr>
                <w:rFonts w:ascii="宋体" w:hAnsi="宋体"/>
                <w:b/>
                <w:bCs/>
                <w:color w:val="000000"/>
                <w:kern w:val="0"/>
                <w:sz w:val="21"/>
                <w:szCs w:val="21"/>
              </w:rPr>
            </w:pPr>
            <w:r>
              <w:rPr>
                <w:rFonts w:hint="eastAsia" w:ascii="宋体" w:hAnsi="宋体" w:cs="Sim Sun"/>
                <w:kern w:val="0"/>
                <w:sz w:val="21"/>
                <w:szCs w:val="21"/>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jc w:val="center"/>
        </w:trPr>
        <w:tc>
          <w:tcPr>
            <w:tcW w:w="1679" w:type="dxa"/>
            <w:shd w:val="clear" w:color="auto" w:fill="auto"/>
            <w:vAlign w:val="center"/>
          </w:tcPr>
          <w:p>
            <w:pPr>
              <w:widowControl/>
              <w:jc w:val="center"/>
              <w:rPr>
                <w:rFonts w:ascii="宋体" w:hAnsi="宋体"/>
                <w:color w:val="000000"/>
                <w:kern w:val="0"/>
                <w:sz w:val="21"/>
                <w:szCs w:val="21"/>
              </w:rPr>
            </w:pPr>
            <w:r>
              <w:rPr>
                <w:rFonts w:hint="eastAsia" w:ascii="宋体" w:hAnsi="宋体" w:cs="宋体"/>
                <w:kern w:val="0"/>
                <w:sz w:val="21"/>
                <w:szCs w:val="21"/>
              </w:rPr>
              <w:t>分类代码</w:t>
            </w:r>
          </w:p>
        </w:tc>
        <w:tc>
          <w:tcPr>
            <w:tcW w:w="1843" w:type="dxa"/>
            <w:shd w:val="clear" w:color="auto" w:fill="auto"/>
            <w:vAlign w:val="center"/>
          </w:tcPr>
          <w:p>
            <w:pPr>
              <w:widowControl/>
              <w:jc w:val="center"/>
              <w:rPr>
                <w:rFonts w:ascii="宋体" w:hAnsi="宋体" w:cs="宋体"/>
                <w:kern w:val="0"/>
                <w:sz w:val="21"/>
                <w:szCs w:val="21"/>
              </w:rPr>
            </w:pPr>
            <w:r>
              <w:rPr>
                <w:rFonts w:ascii="宋体" w:hAnsi="宋体" w:cs="宋体"/>
                <w:kern w:val="0"/>
                <w:sz w:val="21"/>
                <w:szCs w:val="21"/>
              </w:rPr>
              <w:t>3516</w:t>
            </w:r>
          </w:p>
        </w:tc>
        <w:tc>
          <w:tcPr>
            <w:tcW w:w="1559" w:type="dxa"/>
            <w:shd w:val="clear" w:color="auto" w:fill="auto"/>
            <w:vAlign w:val="center"/>
          </w:tcPr>
          <w:p>
            <w:pPr>
              <w:widowControl/>
              <w:jc w:val="center"/>
              <w:rPr>
                <w:rFonts w:ascii="宋体" w:hAnsi="宋体" w:cs="宋体"/>
                <w:kern w:val="0"/>
                <w:sz w:val="21"/>
                <w:szCs w:val="21"/>
              </w:rPr>
            </w:pPr>
            <w:r>
              <w:rPr>
                <w:rFonts w:ascii="宋体" w:hAnsi="宋体" w:cs="宋体"/>
                <w:kern w:val="0"/>
                <w:sz w:val="21"/>
                <w:szCs w:val="21"/>
              </w:rPr>
              <w:t>351</w:t>
            </w:r>
            <w:r>
              <w:rPr>
                <w:rFonts w:hint="eastAsia" w:ascii="宋体" w:hAnsi="宋体" w:cs="宋体"/>
                <w:kern w:val="0"/>
                <w:sz w:val="21"/>
                <w:szCs w:val="21"/>
              </w:rPr>
              <w:t>601</w:t>
            </w:r>
          </w:p>
        </w:tc>
        <w:tc>
          <w:tcPr>
            <w:tcW w:w="3462" w:type="dxa"/>
            <w:shd w:val="clear" w:color="auto" w:fill="auto"/>
            <w:vAlign w:val="center"/>
          </w:tcPr>
          <w:p>
            <w:pPr>
              <w:widowControl/>
              <w:jc w:val="center"/>
              <w:rPr>
                <w:rFonts w:ascii="宋体" w:hAnsi="宋体" w:cs="宋体"/>
                <w:kern w:val="0"/>
                <w:sz w:val="21"/>
                <w:szCs w:val="21"/>
              </w:rPr>
            </w:pPr>
            <w:r>
              <w:rPr>
                <w:rFonts w:ascii="宋体" w:hAnsi="宋体" w:cs="宋体"/>
                <w:kern w:val="0"/>
                <w:sz w:val="21"/>
                <w:szCs w:val="21"/>
              </w:rPr>
              <w:t>351</w:t>
            </w:r>
            <w:r>
              <w:rPr>
                <w:rFonts w:hint="eastAsia" w:ascii="宋体" w:hAnsi="宋体" w:cs="宋体"/>
                <w:kern w:val="0"/>
                <w:sz w:val="21"/>
                <w:szCs w:val="21"/>
              </w:rPr>
              <w:t>60118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jc w:val="center"/>
        </w:trPr>
        <w:tc>
          <w:tcPr>
            <w:tcW w:w="1679" w:type="dxa"/>
            <w:shd w:val="clear" w:color="auto" w:fill="auto"/>
            <w:vAlign w:val="center"/>
          </w:tcPr>
          <w:p>
            <w:pPr>
              <w:pStyle w:val="4"/>
              <w:spacing w:before="0" w:beforeAutospacing="0" w:after="0" w:afterAutospacing="0"/>
              <w:jc w:val="center"/>
              <w:rPr>
                <w:rFonts w:ascii="宋体" w:hAnsi="宋体"/>
                <w:color w:val="000000"/>
                <w:sz w:val="21"/>
                <w:szCs w:val="21"/>
              </w:rPr>
            </w:pPr>
            <w:r>
              <w:rPr>
                <w:rFonts w:hint="eastAsia" w:ascii="宋体" w:hAnsi="宋体" w:cs="Sim Sun"/>
                <w:sz w:val="21"/>
                <w:szCs w:val="21"/>
              </w:rPr>
              <w:t>分类名称</w:t>
            </w:r>
          </w:p>
        </w:tc>
        <w:tc>
          <w:tcPr>
            <w:tcW w:w="1843"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制冷设备</w:t>
            </w:r>
          </w:p>
        </w:tc>
        <w:tc>
          <w:tcPr>
            <w:tcW w:w="155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制冷设备</w:t>
            </w:r>
          </w:p>
        </w:tc>
        <w:tc>
          <w:tcPr>
            <w:tcW w:w="3462"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食品冷柜</w:t>
            </w:r>
          </w:p>
        </w:tc>
      </w:tr>
    </w:tbl>
    <w:p>
      <w:pPr>
        <w:spacing w:beforeLines="50" w:line="360" w:lineRule="auto"/>
        <w:rPr>
          <w:rFonts w:ascii="宋体"/>
          <w:b/>
          <w:bCs/>
          <w:color w:val="000000"/>
          <w:kern w:val="0"/>
        </w:rPr>
      </w:pPr>
      <w:r>
        <w:rPr>
          <w:rFonts w:ascii="宋体" w:hAnsi="宋体" w:cs="宋体"/>
          <w:b/>
          <w:bCs/>
          <w:color w:val="000000"/>
          <w:kern w:val="0"/>
        </w:rPr>
        <w:t xml:space="preserve">2.2 </w:t>
      </w:r>
      <w:r>
        <w:rPr>
          <w:rFonts w:hint="eastAsia" w:ascii="宋体" w:hAnsi="宋体" w:cs="宋体"/>
          <w:b/>
          <w:bCs/>
          <w:color w:val="000000"/>
          <w:kern w:val="0"/>
        </w:rPr>
        <w:t>产品种类</w:t>
      </w:r>
    </w:p>
    <w:p>
      <w:pPr>
        <w:snapToGrid w:val="0"/>
        <w:spacing w:line="360" w:lineRule="auto"/>
        <w:ind w:firstLine="420" w:firstLineChars="200"/>
        <w:rPr>
          <w:rFonts w:ascii="宋体" w:hAnsi="宋体" w:cs="宋体"/>
          <w:color w:val="000000"/>
        </w:rPr>
      </w:pPr>
      <w:r>
        <w:rPr>
          <w:rFonts w:hint="eastAsia" w:ascii="宋体" w:hAnsi="宋体" w:cs="宋体"/>
          <w:color w:val="000000"/>
        </w:rPr>
        <w:t>商用冷柜</w:t>
      </w:r>
      <w:r>
        <w:rPr>
          <w:rFonts w:hint="eastAsia" w:cs="宋体"/>
        </w:rPr>
        <w:t>分为陈列柜，食品冷柜和厨房冰箱</w:t>
      </w:r>
      <w:r>
        <w:rPr>
          <w:rFonts w:hint="eastAsia" w:ascii="宋体" w:hAnsi="宋体" w:cs="宋体"/>
          <w:color w:val="000000"/>
        </w:rPr>
        <w:t>。</w:t>
      </w:r>
    </w:p>
    <w:p>
      <w:pPr>
        <w:spacing w:line="360" w:lineRule="auto"/>
        <w:rPr>
          <w:rFonts w:ascii="宋体"/>
          <w:b/>
          <w:bCs/>
          <w:color w:val="000000"/>
          <w:kern w:val="0"/>
        </w:rPr>
      </w:pPr>
      <w:r>
        <w:rPr>
          <w:rFonts w:ascii="宋体" w:hAnsi="宋体" w:cs="宋体"/>
          <w:b/>
          <w:bCs/>
          <w:color w:val="000000"/>
          <w:kern w:val="0"/>
        </w:rPr>
        <w:t>3</w:t>
      </w:r>
      <w:r>
        <w:rPr>
          <w:rFonts w:hint="eastAsia" w:ascii="宋体" w:hAnsi="宋体" w:cs="宋体"/>
          <w:b/>
          <w:bCs/>
          <w:color w:val="000000"/>
          <w:kern w:val="0"/>
        </w:rPr>
        <w:t>术语和定义</w:t>
      </w:r>
    </w:p>
    <w:p>
      <w:pPr>
        <w:snapToGrid w:val="0"/>
        <w:spacing w:line="360" w:lineRule="auto"/>
        <w:ind w:firstLine="420" w:firstLineChars="200"/>
        <w:rPr>
          <w:rFonts w:ascii="宋体"/>
          <w:color w:val="000000"/>
        </w:rPr>
      </w:pPr>
      <w:r>
        <w:rPr>
          <w:rFonts w:hint="eastAsia" w:ascii="宋体" w:hAnsi="宋体" w:cs="宋体"/>
          <w:color w:val="000000"/>
        </w:rPr>
        <w:t>本细则中未列出的术语和定义同相关引用标准。</w:t>
      </w:r>
    </w:p>
    <w:p>
      <w:pPr>
        <w:spacing w:line="360" w:lineRule="auto"/>
        <w:rPr>
          <w:rFonts w:ascii="宋体"/>
          <w:b/>
          <w:bCs/>
          <w:color w:val="000000"/>
          <w:kern w:val="0"/>
        </w:rPr>
      </w:pPr>
      <w:r>
        <w:rPr>
          <w:rFonts w:ascii="宋体" w:hAnsi="宋体" w:cs="宋体"/>
          <w:b/>
          <w:bCs/>
          <w:color w:val="000000"/>
          <w:kern w:val="0"/>
        </w:rPr>
        <w:t xml:space="preserve">4 </w:t>
      </w:r>
      <w:r>
        <w:rPr>
          <w:rFonts w:hint="eastAsia" w:ascii="宋体" w:hAnsi="宋体" w:cs="宋体"/>
          <w:b/>
          <w:bCs/>
          <w:color w:val="000000"/>
          <w:kern w:val="0"/>
        </w:rPr>
        <w:t>企业产品生产规模划分</w:t>
      </w:r>
    </w:p>
    <w:p>
      <w:pPr>
        <w:spacing w:line="360" w:lineRule="auto"/>
        <w:ind w:firstLine="420" w:firstLineChars="200"/>
        <w:rPr>
          <w:rFonts w:ascii="宋体"/>
          <w:color w:val="000000"/>
          <w:kern w:val="0"/>
        </w:rPr>
      </w:pPr>
      <w:r>
        <w:rPr>
          <w:rFonts w:hint="eastAsia" w:ascii="宋体" w:hAnsi="宋体" w:cs="宋体"/>
          <w:color w:val="000000"/>
          <w:kern w:val="0"/>
        </w:rPr>
        <w:t>根据</w:t>
      </w:r>
      <w:r>
        <w:rPr>
          <w:rFonts w:hint="eastAsia" w:ascii="宋体" w:hAnsi="宋体" w:cs="宋体"/>
          <w:color w:val="000000"/>
        </w:rPr>
        <w:t>商用冷柜</w:t>
      </w:r>
      <w:r>
        <w:rPr>
          <w:rFonts w:hint="eastAsia" w:ascii="宋体" w:hAnsi="宋体" w:cs="宋体"/>
          <w:color w:val="000000"/>
          <w:kern w:val="0"/>
        </w:rPr>
        <w:t>产品行业的实际情况，生产企业规模以</w:t>
      </w:r>
      <w:r>
        <w:rPr>
          <w:rFonts w:hint="eastAsia" w:ascii="宋体" w:hAnsi="宋体" w:cs="宋体"/>
          <w:color w:val="000000"/>
        </w:rPr>
        <w:t>商用冷柜</w:t>
      </w:r>
      <w:r>
        <w:rPr>
          <w:rFonts w:hint="eastAsia" w:ascii="宋体" w:hAnsi="宋体" w:cs="宋体"/>
          <w:color w:val="000000"/>
          <w:kern w:val="0"/>
        </w:rPr>
        <w:t>产品年销售额为标准划分为大、中、小型企业，见表</w:t>
      </w:r>
      <w:r>
        <w:rPr>
          <w:rFonts w:ascii="宋体" w:hAnsi="宋体" w:cs="宋体"/>
          <w:color w:val="000000"/>
          <w:kern w:val="0"/>
        </w:rPr>
        <w:t>2</w:t>
      </w:r>
      <w:r>
        <w:rPr>
          <w:rFonts w:hint="eastAsia" w:ascii="宋体" w:hAnsi="宋体" w:cs="宋体"/>
          <w:color w:val="000000"/>
          <w:kern w:val="0"/>
        </w:rPr>
        <w:t>。</w:t>
      </w:r>
    </w:p>
    <w:p>
      <w:pPr>
        <w:spacing w:line="440" w:lineRule="exact"/>
        <w:ind w:firstLine="422" w:firstLineChars="200"/>
        <w:jc w:val="center"/>
        <w:rPr>
          <w:rFonts w:ascii="宋体"/>
          <w:b/>
          <w:bCs/>
          <w:color w:val="000000"/>
          <w:kern w:val="0"/>
          <w:sz w:val="21"/>
          <w:szCs w:val="21"/>
        </w:rPr>
      </w:pPr>
      <w:r>
        <w:rPr>
          <w:rFonts w:hint="eastAsia" w:ascii="宋体" w:hAnsi="宋体" w:cs="宋体"/>
          <w:b/>
          <w:bCs/>
          <w:color w:val="000000"/>
          <w:kern w:val="0"/>
          <w:sz w:val="21"/>
          <w:szCs w:val="21"/>
        </w:rPr>
        <w:t>表</w:t>
      </w:r>
      <w:r>
        <w:rPr>
          <w:rFonts w:ascii="宋体" w:hAnsi="宋体" w:cs="宋体"/>
          <w:b/>
          <w:bCs/>
          <w:color w:val="000000"/>
          <w:kern w:val="0"/>
          <w:sz w:val="21"/>
          <w:szCs w:val="21"/>
        </w:rPr>
        <w:t>2</w:t>
      </w:r>
      <w:r>
        <w:rPr>
          <w:rFonts w:hint="eastAsia" w:ascii="宋体" w:hAnsi="宋体" w:cs="宋体"/>
          <w:b/>
          <w:bCs/>
          <w:color w:val="000000"/>
          <w:kern w:val="0"/>
          <w:sz w:val="21"/>
          <w:szCs w:val="21"/>
        </w:rPr>
        <w:t xml:space="preserve">  企业产品生产规模划分</w:t>
      </w:r>
    </w:p>
    <w:tbl>
      <w:tblPr>
        <w:tblStyle w:val="7"/>
        <w:tblW w:w="86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55"/>
        <w:gridCol w:w="2156"/>
        <w:gridCol w:w="2156"/>
        <w:gridCol w:w="2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5" w:hRule="atLeast"/>
          <w:jc w:val="center"/>
        </w:trPr>
        <w:tc>
          <w:tcPr>
            <w:tcW w:w="2155" w:type="dxa"/>
            <w:shd w:val="clear" w:color="auto" w:fill="auto"/>
            <w:vAlign w:val="center"/>
          </w:tcPr>
          <w:p>
            <w:pPr>
              <w:snapToGrid w:val="0"/>
              <w:spacing w:line="320" w:lineRule="exact"/>
              <w:jc w:val="center"/>
              <w:rPr>
                <w:rFonts w:ascii="宋体" w:hAnsi="宋体"/>
                <w:bCs/>
                <w:color w:val="000000"/>
                <w:kern w:val="0"/>
                <w:sz w:val="21"/>
                <w:szCs w:val="21"/>
              </w:rPr>
            </w:pPr>
            <w:r>
              <w:rPr>
                <w:rFonts w:hint="eastAsia" w:ascii="宋体" w:hAnsi="宋体" w:cs="宋体"/>
                <w:bCs/>
                <w:color w:val="000000"/>
                <w:kern w:val="0"/>
                <w:sz w:val="21"/>
                <w:szCs w:val="21"/>
              </w:rPr>
              <w:t>企业产品生产规模</w:t>
            </w:r>
          </w:p>
        </w:tc>
        <w:tc>
          <w:tcPr>
            <w:tcW w:w="2156" w:type="dxa"/>
            <w:shd w:val="clear" w:color="auto" w:fill="auto"/>
            <w:vAlign w:val="center"/>
          </w:tcPr>
          <w:p>
            <w:pPr>
              <w:snapToGrid w:val="0"/>
              <w:spacing w:line="320" w:lineRule="exact"/>
              <w:jc w:val="center"/>
              <w:rPr>
                <w:rFonts w:ascii="宋体" w:hAnsi="宋体"/>
                <w:bCs/>
                <w:color w:val="000000"/>
                <w:kern w:val="0"/>
                <w:sz w:val="21"/>
                <w:szCs w:val="21"/>
              </w:rPr>
            </w:pPr>
            <w:r>
              <w:rPr>
                <w:rFonts w:hint="eastAsia" w:ascii="宋体" w:hAnsi="宋体" w:cs="宋体"/>
                <w:bCs/>
                <w:color w:val="000000"/>
                <w:kern w:val="0"/>
                <w:sz w:val="21"/>
                <w:szCs w:val="21"/>
              </w:rPr>
              <w:t>大型企业</w:t>
            </w:r>
          </w:p>
        </w:tc>
        <w:tc>
          <w:tcPr>
            <w:tcW w:w="2156" w:type="dxa"/>
            <w:shd w:val="clear" w:color="auto" w:fill="auto"/>
            <w:vAlign w:val="center"/>
          </w:tcPr>
          <w:p>
            <w:pPr>
              <w:snapToGrid w:val="0"/>
              <w:spacing w:line="320" w:lineRule="exact"/>
              <w:jc w:val="center"/>
              <w:rPr>
                <w:rFonts w:ascii="宋体" w:hAnsi="宋体"/>
                <w:bCs/>
                <w:color w:val="000000"/>
                <w:kern w:val="0"/>
                <w:sz w:val="21"/>
                <w:szCs w:val="21"/>
              </w:rPr>
            </w:pPr>
            <w:r>
              <w:rPr>
                <w:rFonts w:hint="eastAsia" w:ascii="宋体" w:hAnsi="宋体" w:cs="宋体"/>
                <w:bCs/>
                <w:color w:val="000000"/>
                <w:kern w:val="0"/>
                <w:sz w:val="21"/>
                <w:szCs w:val="21"/>
              </w:rPr>
              <w:t>中型企业</w:t>
            </w:r>
          </w:p>
        </w:tc>
        <w:tc>
          <w:tcPr>
            <w:tcW w:w="2156" w:type="dxa"/>
            <w:shd w:val="clear" w:color="auto" w:fill="auto"/>
            <w:vAlign w:val="center"/>
          </w:tcPr>
          <w:p>
            <w:pPr>
              <w:snapToGrid w:val="0"/>
              <w:spacing w:line="320" w:lineRule="exact"/>
              <w:jc w:val="center"/>
              <w:rPr>
                <w:rFonts w:ascii="宋体" w:hAnsi="宋体"/>
                <w:bCs/>
                <w:color w:val="000000"/>
                <w:kern w:val="0"/>
                <w:sz w:val="21"/>
                <w:szCs w:val="21"/>
              </w:rPr>
            </w:pPr>
            <w:r>
              <w:rPr>
                <w:rFonts w:hint="eastAsia" w:ascii="宋体" w:hAnsi="宋体" w:cs="宋体"/>
                <w:bCs/>
                <w:color w:val="000000"/>
                <w:kern w:val="0"/>
                <w:sz w:val="21"/>
                <w:szCs w:val="21"/>
              </w:rPr>
              <w:t>小型企业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29" w:hRule="atLeast"/>
          <w:jc w:val="center"/>
        </w:trPr>
        <w:tc>
          <w:tcPr>
            <w:tcW w:w="2155" w:type="dxa"/>
            <w:shd w:val="clear" w:color="auto" w:fill="auto"/>
            <w:vAlign w:val="center"/>
          </w:tcPr>
          <w:p>
            <w:pPr>
              <w:snapToGrid w:val="0"/>
              <w:spacing w:line="320" w:lineRule="exact"/>
              <w:jc w:val="center"/>
              <w:rPr>
                <w:rFonts w:ascii="宋体" w:hAnsi="宋体"/>
                <w:color w:val="000000"/>
                <w:kern w:val="0"/>
                <w:sz w:val="21"/>
                <w:szCs w:val="21"/>
              </w:rPr>
            </w:pPr>
            <w:r>
              <w:rPr>
                <w:rFonts w:hint="eastAsia" w:ascii="宋体" w:hAnsi="宋体" w:cs="宋体"/>
                <w:color w:val="000000"/>
                <w:kern w:val="0"/>
                <w:sz w:val="21"/>
                <w:szCs w:val="21"/>
              </w:rPr>
              <w:t>年销售额</w:t>
            </w:r>
            <w:r>
              <w:rPr>
                <w:rFonts w:ascii="宋体" w:hAnsi="宋体" w:cs="宋体"/>
                <w:color w:val="000000"/>
                <w:kern w:val="0"/>
                <w:sz w:val="21"/>
                <w:szCs w:val="21"/>
              </w:rPr>
              <w:t>/</w:t>
            </w:r>
            <w:r>
              <w:rPr>
                <w:rFonts w:hint="eastAsia" w:ascii="宋体" w:hAnsi="宋体" w:cs="宋体"/>
                <w:color w:val="000000"/>
                <w:kern w:val="0"/>
                <w:sz w:val="21"/>
                <w:szCs w:val="21"/>
              </w:rPr>
              <w:t>万元</w:t>
            </w:r>
          </w:p>
        </w:tc>
        <w:tc>
          <w:tcPr>
            <w:tcW w:w="2156" w:type="dxa"/>
            <w:shd w:val="clear" w:color="auto" w:fill="auto"/>
          </w:tcPr>
          <w:p>
            <w:pPr>
              <w:snapToGrid w:val="0"/>
              <w:spacing w:line="440" w:lineRule="exact"/>
              <w:jc w:val="center"/>
              <w:rPr>
                <w:rFonts w:ascii="宋体" w:hAnsi="宋体"/>
                <w:sz w:val="21"/>
                <w:szCs w:val="21"/>
              </w:rPr>
            </w:pPr>
            <w:r>
              <w:rPr>
                <w:rFonts w:hint="eastAsia" w:ascii="宋体" w:hAnsi="宋体" w:cs="宋体"/>
                <w:sz w:val="21"/>
                <w:szCs w:val="21"/>
              </w:rPr>
              <w:t>≥</w:t>
            </w:r>
            <w:r>
              <w:rPr>
                <w:rFonts w:ascii="宋体" w:hAnsi="宋体"/>
                <w:sz w:val="21"/>
                <w:szCs w:val="21"/>
              </w:rPr>
              <w:t>10000</w:t>
            </w:r>
          </w:p>
        </w:tc>
        <w:tc>
          <w:tcPr>
            <w:tcW w:w="2156" w:type="dxa"/>
            <w:shd w:val="clear" w:color="auto" w:fill="auto"/>
          </w:tcPr>
          <w:p>
            <w:pPr>
              <w:snapToGrid w:val="0"/>
              <w:spacing w:line="440" w:lineRule="exact"/>
              <w:jc w:val="center"/>
              <w:rPr>
                <w:rFonts w:ascii="宋体" w:hAnsi="宋体"/>
                <w:sz w:val="21"/>
                <w:szCs w:val="21"/>
              </w:rPr>
            </w:pPr>
            <w:r>
              <w:rPr>
                <w:rFonts w:hint="eastAsia" w:ascii="宋体" w:hAnsi="宋体" w:cs="宋体"/>
                <w:sz w:val="21"/>
                <w:szCs w:val="21"/>
              </w:rPr>
              <w:t>≥</w:t>
            </w:r>
            <w:r>
              <w:rPr>
                <w:rFonts w:ascii="宋体" w:hAnsi="宋体"/>
                <w:sz w:val="21"/>
                <w:szCs w:val="21"/>
              </w:rPr>
              <w:t>2000</w:t>
            </w:r>
            <w:r>
              <w:rPr>
                <w:rFonts w:hint="eastAsia" w:ascii="宋体" w:hAnsi="宋体" w:cs="宋体"/>
                <w:sz w:val="21"/>
                <w:szCs w:val="21"/>
              </w:rPr>
              <w:t>且＜</w:t>
            </w:r>
            <w:r>
              <w:rPr>
                <w:rFonts w:ascii="宋体" w:hAnsi="宋体"/>
                <w:sz w:val="21"/>
                <w:szCs w:val="21"/>
              </w:rPr>
              <w:t xml:space="preserve">10000 </w:t>
            </w:r>
          </w:p>
        </w:tc>
        <w:tc>
          <w:tcPr>
            <w:tcW w:w="2156" w:type="dxa"/>
            <w:shd w:val="clear" w:color="auto" w:fill="auto"/>
          </w:tcPr>
          <w:p>
            <w:pPr>
              <w:snapToGrid w:val="0"/>
              <w:spacing w:line="440" w:lineRule="exact"/>
              <w:jc w:val="center"/>
              <w:rPr>
                <w:rFonts w:ascii="宋体" w:hAnsi="宋体"/>
                <w:sz w:val="21"/>
                <w:szCs w:val="21"/>
              </w:rPr>
            </w:pPr>
            <w:r>
              <w:rPr>
                <w:rFonts w:hint="eastAsia" w:ascii="宋体" w:hAnsi="宋体" w:cs="宋体"/>
                <w:sz w:val="21"/>
                <w:szCs w:val="21"/>
              </w:rPr>
              <w:t>＜</w:t>
            </w:r>
            <w:r>
              <w:rPr>
                <w:rFonts w:ascii="宋体" w:hAnsi="宋体"/>
                <w:sz w:val="21"/>
                <w:szCs w:val="21"/>
              </w:rPr>
              <w:t>2000</w:t>
            </w:r>
          </w:p>
        </w:tc>
      </w:tr>
    </w:tbl>
    <w:p>
      <w:pPr>
        <w:spacing w:line="360" w:lineRule="auto"/>
        <w:ind w:firstLine="360" w:firstLineChars="200"/>
        <w:rPr>
          <w:rFonts w:ascii="宋体"/>
          <w:sz w:val="18"/>
          <w:szCs w:val="18"/>
        </w:rPr>
      </w:pPr>
      <w:r>
        <w:rPr>
          <w:rFonts w:hint="eastAsia" w:ascii="宋体" w:hAnsi="宋体" w:cs="宋体"/>
          <w:sz w:val="18"/>
          <w:szCs w:val="18"/>
        </w:rPr>
        <w:t>注：年销售额包括该类产品的内销和外销总额。</w:t>
      </w:r>
    </w:p>
    <w:p>
      <w:pPr>
        <w:spacing w:line="360" w:lineRule="auto"/>
        <w:rPr>
          <w:rFonts w:ascii="宋体"/>
          <w:b/>
          <w:bCs/>
          <w:color w:val="000000"/>
          <w:kern w:val="0"/>
        </w:rPr>
      </w:pPr>
      <w:r>
        <w:rPr>
          <w:rFonts w:ascii="宋体" w:hAnsi="宋体" w:cs="宋体"/>
          <w:b/>
          <w:bCs/>
          <w:color w:val="000000"/>
          <w:kern w:val="0"/>
        </w:rPr>
        <w:t xml:space="preserve">5 </w:t>
      </w:r>
      <w:r>
        <w:rPr>
          <w:rFonts w:hint="eastAsia" w:ascii="宋体" w:hAnsi="宋体" w:cs="宋体"/>
          <w:b/>
          <w:bCs/>
          <w:color w:val="000000"/>
          <w:kern w:val="0"/>
        </w:rPr>
        <w:t>检验依据</w:t>
      </w:r>
    </w:p>
    <w:p>
      <w:pPr>
        <w:snapToGrid w:val="0"/>
        <w:spacing w:line="360" w:lineRule="auto"/>
        <w:ind w:firstLine="420" w:firstLineChars="200"/>
        <w:rPr>
          <w:rFonts w:ascii="宋体" w:hAnsi="宋体" w:cs="宋体"/>
        </w:rPr>
      </w:pPr>
      <w:r>
        <w:rPr>
          <w:rFonts w:hint="eastAsia" w:ascii="宋体" w:hAnsi="宋体" w:cs="宋体"/>
        </w:rPr>
        <w:t>凡是注日期的引用文件，仅注日期的版本适用于本细则。凡是不注日期的引用文件，其最新版本（包括所有的修改单）适用于本细则。</w:t>
      </w:r>
    </w:p>
    <w:p>
      <w:pPr>
        <w:tabs>
          <w:tab w:val="left" w:pos="0"/>
        </w:tabs>
        <w:snapToGrid w:val="0"/>
        <w:spacing w:line="360" w:lineRule="auto"/>
        <w:ind w:firstLine="420" w:firstLineChars="200"/>
        <w:rPr>
          <w:rFonts w:ascii="宋体" w:hAnsi="宋体"/>
          <w:kern w:val="0"/>
        </w:rPr>
      </w:pPr>
      <w:r>
        <w:rPr>
          <w:rFonts w:ascii="宋体" w:hAnsi="宋体"/>
          <w:kern w:val="0"/>
        </w:rPr>
        <w:t>GB 4706.1</w:t>
      </w:r>
      <w:r>
        <w:rPr>
          <w:rFonts w:hint="eastAsia" w:ascii="宋体" w:hAnsi="宋体"/>
        </w:rPr>
        <w:t>—</w:t>
      </w:r>
      <w:r>
        <w:rPr>
          <w:rFonts w:ascii="宋体" w:hAnsi="宋体"/>
          <w:kern w:val="0"/>
        </w:rPr>
        <w:t xml:space="preserve">2005 </w:t>
      </w:r>
      <w:r>
        <w:rPr>
          <w:rFonts w:hint="eastAsia" w:ascii="宋体" w:hAnsi="宋体"/>
          <w:kern w:val="0"/>
        </w:rPr>
        <w:t xml:space="preserve"> </w:t>
      </w:r>
      <w:r>
        <w:rPr>
          <w:rFonts w:ascii="宋体" w:hAnsi="宋体"/>
          <w:kern w:val="0"/>
        </w:rPr>
        <w:t xml:space="preserve"> </w:t>
      </w:r>
      <w:r>
        <w:rPr>
          <w:rFonts w:hint="eastAsia" w:ascii="宋体" w:hAnsi="宋体" w:cs="宋体"/>
          <w:kern w:val="0"/>
        </w:rPr>
        <w:t>家用和类似用途电器的安全</w:t>
      </w:r>
      <w:r>
        <w:rPr>
          <w:rFonts w:ascii="宋体" w:hAnsi="宋体"/>
          <w:kern w:val="0"/>
        </w:rPr>
        <w:t xml:space="preserve">  </w:t>
      </w:r>
      <w:r>
        <w:rPr>
          <w:rFonts w:hint="eastAsia" w:ascii="宋体" w:hAnsi="宋体" w:cs="宋体"/>
          <w:kern w:val="0"/>
        </w:rPr>
        <w:t>第</w:t>
      </w:r>
      <w:r>
        <w:rPr>
          <w:rFonts w:ascii="宋体" w:hAnsi="宋体"/>
          <w:kern w:val="0"/>
        </w:rPr>
        <w:t>1</w:t>
      </w:r>
      <w:r>
        <w:rPr>
          <w:rFonts w:hint="eastAsia" w:ascii="宋体" w:hAnsi="宋体" w:cs="宋体"/>
          <w:kern w:val="0"/>
        </w:rPr>
        <w:t>部分：通用要求</w:t>
      </w:r>
    </w:p>
    <w:p>
      <w:pPr>
        <w:tabs>
          <w:tab w:val="left" w:pos="0"/>
        </w:tabs>
        <w:snapToGrid w:val="0"/>
        <w:spacing w:line="360" w:lineRule="auto"/>
        <w:ind w:firstLine="420" w:firstLineChars="200"/>
        <w:rPr>
          <w:rFonts w:ascii="宋体" w:hAnsi="宋体"/>
        </w:rPr>
      </w:pPr>
      <w:r>
        <w:rPr>
          <w:rFonts w:ascii="宋体" w:hAnsi="宋体"/>
        </w:rPr>
        <w:t>GB</w:t>
      </w:r>
      <w:r>
        <w:rPr>
          <w:rFonts w:hint="eastAsia" w:ascii="宋体" w:hAnsi="宋体"/>
        </w:rPr>
        <w:t xml:space="preserve"> </w:t>
      </w:r>
      <w:r>
        <w:rPr>
          <w:rFonts w:ascii="宋体" w:hAnsi="宋体"/>
        </w:rPr>
        <w:t xml:space="preserve"> 4706.13-20</w:t>
      </w:r>
      <w:r>
        <w:rPr>
          <w:rFonts w:hint="eastAsia" w:ascii="宋体" w:hAnsi="宋体"/>
        </w:rPr>
        <w:t xml:space="preserve">14   </w:t>
      </w:r>
      <w:r>
        <w:rPr>
          <w:rFonts w:ascii="宋体" w:hAnsi="宋体"/>
        </w:rPr>
        <w:t>家用和类似用途电器的安全 制冷器具、冰淇淋机和制冰机的特殊要求</w:t>
      </w:r>
      <w:r>
        <w:rPr>
          <w:rFonts w:hint="eastAsia" w:ascii="宋体" w:hAnsi="宋体"/>
        </w:rPr>
        <w:t xml:space="preserve"> </w:t>
      </w:r>
    </w:p>
    <w:p>
      <w:pPr>
        <w:tabs>
          <w:tab w:val="left" w:pos="0"/>
        </w:tabs>
        <w:snapToGrid w:val="0"/>
        <w:spacing w:line="360" w:lineRule="auto"/>
        <w:ind w:firstLine="420" w:firstLineChars="200"/>
        <w:rPr>
          <w:rFonts w:cs="宋体"/>
          <w:kern w:val="0"/>
        </w:rPr>
      </w:pPr>
      <w:r>
        <w:rPr>
          <w:rFonts w:ascii="宋体" w:hAnsi="宋体"/>
          <w:kern w:val="0"/>
        </w:rPr>
        <w:t>GB 4343.1</w:t>
      </w:r>
      <w:r>
        <w:rPr>
          <w:rFonts w:hint="eastAsia" w:ascii="宋体" w:hAnsi="宋体"/>
        </w:rPr>
        <w:t>—</w:t>
      </w:r>
      <w:r>
        <w:rPr>
          <w:rFonts w:hint="eastAsia" w:ascii="宋体" w:hAnsi="宋体"/>
          <w:kern w:val="0"/>
        </w:rPr>
        <w:t>2009</w:t>
      </w:r>
      <w:r>
        <w:rPr>
          <w:rFonts w:ascii="宋体" w:hAnsi="宋体"/>
          <w:kern w:val="0"/>
        </w:rPr>
        <w:t xml:space="preserve">  </w:t>
      </w:r>
      <w:r>
        <w:rPr>
          <w:rFonts w:hint="eastAsia" w:ascii="宋体" w:hAnsi="宋体"/>
          <w:kern w:val="0"/>
        </w:rPr>
        <w:t xml:space="preserve"> </w:t>
      </w:r>
      <w:r>
        <w:rPr>
          <w:rFonts w:hint="eastAsia" w:ascii="宋体" w:hAnsi="宋体" w:cs="宋体"/>
          <w:kern w:val="0"/>
        </w:rPr>
        <w:t>家用电器、电动工具和类似器具的电磁兼容要求</w:t>
      </w:r>
      <w:r>
        <w:rPr>
          <w:rFonts w:ascii="宋体" w:hAnsi="宋体"/>
          <w:kern w:val="0"/>
        </w:rPr>
        <w:t xml:space="preserve"> </w:t>
      </w:r>
      <w:r>
        <w:rPr>
          <w:rFonts w:hint="eastAsia" w:ascii="宋体" w:hAnsi="宋体" w:cs="宋体"/>
          <w:kern w:val="0"/>
        </w:rPr>
        <w:t>第</w:t>
      </w:r>
      <w:r>
        <w:rPr>
          <w:rFonts w:ascii="宋体" w:hAnsi="宋体"/>
          <w:kern w:val="0"/>
        </w:rPr>
        <w:t>1</w:t>
      </w:r>
      <w:r>
        <w:rPr>
          <w:rFonts w:hint="eastAsia" w:ascii="宋体" w:hAnsi="宋体" w:cs="宋体"/>
          <w:kern w:val="0"/>
        </w:rPr>
        <w:t>部分：发射</w:t>
      </w:r>
    </w:p>
    <w:p>
      <w:pPr>
        <w:tabs>
          <w:tab w:val="left" w:pos="0"/>
        </w:tabs>
        <w:snapToGrid w:val="0"/>
        <w:spacing w:line="360" w:lineRule="auto"/>
        <w:ind w:left="420" w:leftChars="200"/>
        <w:rPr>
          <w:rFonts w:ascii="宋体" w:hAnsi="宋体"/>
        </w:rPr>
      </w:pPr>
      <w:r>
        <w:rPr>
          <w:rFonts w:ascii="宋体" w:hAnsi="宋体"/>
        </w:rPr>
        <w:t>GB 12021.2-20</w:t>
      </w:r>
      <w:r>
        <w:rPr>
          <w:rFonts w:hint="eastAsia" w:ascii="宋体" w:hAnsi="宋体"/>
        </w:rPr>
        <w:t>15</w:t>
      </w:r>
      <w:r>
        <w:rPr>
          <w:rFonts w:ascii="宋体" w:hAnsi="宋体"/>
        </w:rPr>
        <w:t xml:space="preserve"> </w:t>
      </w:r>
      <w:r>
        <w:rPr>
          <w:rFonts w:hint="eastAsia" w:ascii="宋体" w:hAnsi="宋体"/>
        </w:rPr>
        <w:t xml:space="preserve"> </w:t>
      </w:r>
      <w:r>
        <w:rPr>
          <w:rFonts w:ascii="宋体" w:hAnsi="宋体"/>
        </w:rPr>
        <w:t>家用电冰箱耗电量限定值及能效等级</w:t>
      </w:r>
    </w:p>
    <w:p>
      <w:pPr>
        <w:tabs>
          <w:tab w:val="left" w:pos="0"/>
        </w:tabs>
        <w:snapToGrid w:val="0"/>
        <w:spacing w:line="360" w:lineRule="auto"/>
        <w:ind w:left="420" w:leftChars="200"/>
        <w:rPr>
          <w:rFonts w:ascii="宋体" w:hAnsi="宋体"/>
        </w:rPr>
      </w:pPr>
      <w:r>
        <w:rPr>
          <w:rFonts w:ascii="宋体" w:hAnsi="宋体"/>
        </w:rPr>
        <w:t xml:space="preserve">GB 19606-2004 </w:t>
      </w:r>
      <w:r>
        <w:rPr>
          <w:rFonts w:hint="eastAsia" w:ascii="宋体" w:hAnsi="宋体"/>
        </w:rPr>
        <w:t xml:space="preserve">   </w:t>
      </w:r>
      <w:r>
        <w:rPr>
          <w:rFonts w:ascii="宋体" w:hAnsi="宋体"/>
        </w:rPr>
        <w:t>家用和类似用途电器噪声限值</w:t>
      </w:r>
    </w:p>
    <w:p>
      <w:pPr>
        <w:tabs>
          <w:tab w:val="left" w:pos="0"/>
        </w:tabs>
        <w:snapToGrid w:val="0"/>
        <w:spacing w:line="360" w:lineRule="auto"/>
        <w:ind w:left="420" w:leftChars="200"/>
        <w:rPr>
          <w:rFonts w:ascii="宋体" w:hAnsi="宋体"/>
        </w:rPr>
      </w:pPr>
      <w:r>
        <w:rPr>
          <w:rFonts w:hint="eastAsia" w:ascii="宋体" w:hAnsi="宋体"/>
        </w:rPr>
        <w:t>GB/T 8059-2016    家用和类似用途制冷器具</w:t>
      </w:r>
    </w:p>
    <w:p>
      <w:pPr>
        <w:tabs>
          <w:tab w:val="left" w:pos="0"/>
        </w:tabs>
        <w:snapToGrid w:val="0"/>
        <w:spacing w:line="360" w:lineRule="auto"/>
        <w:ind w:left="420" w:leftChars="200"/>
        <w:rPr>
          <w:rFonts w:ascii="宋体" w:hAnsi="宋体"/>
        </w:rPr>
      </w:pPr>
      <w:r>
        <w:rPr>
          <w:rFonts w:ascii="宋体" w:hAnsi="宋体"/>
        </w:rPr>
        <w:t>JB/T 7244-1994</w:t>
      </w:r>
      <w:r>
        <w:rPr>
          <w:rFonts w:hint="eastAsia" w:ascii="宋体" w:hAnsi="宋体"/>
        </w:rPr>
        <w:t xml:space="preserve">    食品冷柜</w:t>
      </w:r>
    </w:p>
    <w:p>
      <w:pPr>
        <w:tabs>
          <w:tab w:val="left" w:pos="0"/>
        </w:tabs>
        <w:snapToGrid w:val="0"/>
        <w:spacing w:line="360" w:lineRule="auto"/>
        <w:ind w:left="420" w:leftChars="200"/>
        <w:rPr>
          <w:rFonts w:ascii="宋体" w:hAnsi="宋体"/>
        </w:rPr>
      </w:pPr>
      <w:r>
        <w:rPr>
          <w:rFonts w:ascii="宋体" w:hAnsi="宋体"/>
        </w:rPr>
        <w:t>GB/T 21001.2-2015</w:t>
      </w:r>
      <w:r>
        <w:rPr>
          <w:rFonts w:hint="eastAsia" w:ascii="宋体" w:hAnsi="宋体"/>
        </w:rPr>
        <w:t xml:space="preserve">   </w:t>
      </w:r>
      <w:r>
        <w:fldChar w:fldCharType="begin"/>
      </w:r>
      <w:r>
        <w:instrText xml:space="preserve"> HYPERLINK "javascript:;" </w:instrText>
      </w:r>
      <w:r>
        <w:fldChar w:fldCharType="separate"/>
      </w:r>
      <w:r>
        <w:rPr>
          <w:rFonts w:ascii="宋体" w:hAnsi="宋体"/>
        </w:rPr>
        <w:t>制冷陈列柜 第2部分：分类、要求和试验条件</w:t>
      </w:r>
      <w:r>
        <w:rPr>
          <w:rFonts w:ascii="宋体" w:hAnsi="宋体"/>
        </w:rPr>
        <w:fldChar w:fldCharType="end"/>
      </w:r>
    </w:p>
    <w:p>
      <w:pPr>
        <w:tabs>
          <w:tab w:val="left" w:pos="0"/>
        </w:tabs>
        <w:snapToGrid w:val="0"/>
        <w:spacing w:line="360" w:lineRule="auto"/>
        <w:ind w:left="420" w:leftChars="200"/>
        <w:rPr>
          <w:rFonts w:ascii="宋体" w:hAnsi="宋体"/>
        </w:rPr>
      </w:pPr>
      <w:r>
        <w:rPr>
          <w:rFonts w:ascii="宋体" w:hAnsi="宋体"/>
        </w:rPr>
        <w:t>GB/T 21001.3-2015</w:t>
      </w:r>
      <w:r>
        <w:rPr>
          <w:rFonts w:hint="eastAsia" w:ascii="宋体" w:hAnsi="宋体"/>
        </w:rPr>
        <w:t xml:space="preserve">   </w:t>
      </w:r>
      <w:r>
        <w:fldChar w:fldCharType="begin"/>
      </w:r>
      <w:r>
        <w:instrText xml:space="preserve"> HYPERLINK "javascript:;" </w:instrText>
      </w:r>
      <w:r>
        <w:fldChar w:fldCharType="separate"/>
      </w:r>
      <w:r>
        <w:rPr>
          <w:rFonts w:ascii="宋体" w:hAnsi="宋体"/>
        </w:rPr>
        <w:t>制冷陈列柜 第3部分：试验评定</w:t>
      </w:r>
      <w:r>
        <w:rPr>
          <w:rFonts w:ascii="宋体" w:hAnsi="宋体"/>
        </w:rPr>
        <w:fldChar w:fldCharType="end"/>
      </w:r>
    </w:p>
    <w:p>
      <w:pPr>
        <w:tabs>
          <w:tab w:val="left" w:pos="0"/>
        </w:tabs>
        <w:snapToGrid w:val="0"/>
        <w:spacing w:line="360" w:lineRule="auto"/>
        <w:ind w:firstLine="424" w:firstLineChars="202"/>
        <w:rPr>
          <w:rFonts w:ascii="宋体" w:hAnsi="宋体"/>
        </w:rPr>
      </w:pPr>
      <w:r>
        <w:rPr>
          <w:rFonts w:ascii="宋体" w:hAnsi="宋体"/>
        </w:rPr>
        <w:t>GB 26920.2-2015</w:t>
      </w:r>
      <w:r>
        <w:rPr>
          <w:rFonts w:hint="eastAsia" w:ascii="宋体" w:hAnsi="宋体"/>
        </w:rPr>
        <w:t xml:space="preserve">   </w:t>
      </w:r>
      <w:r>
        <w:fldChar w:fldCharType="begin"/>
      </w:r>
      <w:r>
        <w:instrText xml:space="preserve"> HYPERLINK "javascript:;" </w:instrText>
      </w:r>
      <w:r>
        <w:fldChar w:fldCharType="separate"/>
      </w:r>
      <w:r>
        <w:rPr>
          <w:rFonts w:ascii="宋体" w:hAnsi="宋体"/>
        </w:rPr>
        <w:t>商用制冷器具能效限定值和能效等级 第2部分：自携冷凝机组商用冷柜</w:t>
      </w:r>
      <w:r>
        <w:rPr>
          <w:rFonts w:ascii="宋体" w:hAnsi="宋体"/>
        </w:rPr>
        <w:fldChar w:fldCharType="end"/>
      </w:r>
    </w:p>
    <w:p>
      <w:pPr>
        <w:tabs>
          <w:tab w:val="left" w:pos="0"/>
        </w:tabs>
        <w:snapToGrid w:val="0"/>
        <w:spacing w:line="360" w:lineRule="auto"/>
        <w:ind w:left="420" w:leftChars="200"/>
        <w:rPr>
          <w:rFonts w:ascii="宋体" w:hAnsi="宋体"/>
        </w:rPr>
      </w:pPr>
      <w:r>
        <w:rPr>
          <w:rFonts w:ascii="宋体" w:hAnsi="宋体"/>
        </w:rPr>
        <w:t>SB/T 10794.2-2012</w:t>
      </w:r>
      <w:r>
        <w:rPr>
          <w:rFonts w:hint="eastAsia" w:ascii="宋体" w:hAnsi="宋体"/>
        </w:rPr>
        <w:t xml:space="preserve">  </w:t>
      </w:r>
      <w:r>
        <w:fldChar w:fldCharType="begin"/>
      </w:r>
      <w:r>
        <w:instrText xml:space="preserve"> HYPERLINK "http://www.std.gov.cn/hb/search/stdHBDetailed?id=5DDA8BA3561D18DEE05397BE0A0A95A7" \t "_blank" </w:instrText>
      </w:r>
      <w:r>
        <w:fldChar w:fldCharType="separate"/>
      </w:r>
      <w:r>
        <w:rPr>
          <w:rFonts w:ascii="宋体" w:hAnsi="宋体"/>
        </w:rPr>
        <w:t>商用冷柜 第2部分：分类、要求和试验条件</w:t>
      </w:r>
      <w:r>
        <w:rPr>
          <w:rFonts w:ascii="宋体" w:hAnsi="宋体"/>
        </w:rPr>
        <w:fldChar w:fldCharType="end"/>
      </w:r>
    </w:p>
    <w:p>
      <w:pPr>
        <w:tabs>
          <w:tab w:val="left" w:pos="0"/>
        </w:tabs>
        <w:snapToGrid w:val="0"/>
        <w:spacing w:line="360" w:lineRule="auto"/>
        <w:ind w:left="420" w:leftChars="200"/>
        <w:rPr>
          <w:rFonts w:ascii="宋体" w:hAnsi="宋体"/>
        </w:rPr>
      </w:pPr>
      <w:r>
        <w:rPr>
          <w:rFonts w:ascii="宋体" w:hAnsi="宋体"/>
        </w:rPr>
        <w:t>SB/T 10794.3-2012</w:t>
      </w:r>
      <w:r>
        <w:rPr>
          <w:rFonts w:hint="eastAsia" w:ascii="宋体" w:hAnsi="宋体"/>
        </w:rPr>
        <w:t xml:space="preserve">  </w:t>
      </w:r>
      <w:r>
        <w:fldChar w:fldCharType="begin"/>
      </w:r>
      <w:r>
        <w:instrText xml:space="preserve"> HYPERLINK "http://www.std.gov.cn/hb/search/stdHBDetailed?id=5DDA8BA30F1C18DEE05397BE0A0A95A7" \t "_blank" </w:instrText>
      </w:r>
      <w:r>
        <w:fldChar w:fldCharType="separate"/>
      </w:r>
      <w:r>
        <w:rPr>
          <w:rFonts w:ascii="宋体" w:hAnsi="宋体"/>
        </w:rPr>
        <w:t>商用冷柜 第3部分：饮料冷藏陈列柜</w:t>
      </w:r>
      <w:r>
        <w:rPr>
          <w:rFonts w:ascii="宋体" w:hAnsi="宋体"/>
        </w:rPr>
        <w:fldChar w:fldCharType="end"/>
      </w:r>
    </w:p>
    <w:p>
      <w:pPr>
        <w:tabs>
          <w:tab w:val="left" w:pos="0"/>
        </w:tabs>
        <w:snapToGrid w:val="0"/>
        <w:spacing w:line="360" w:lineRule="auto"/>
        <w:ind w:firstLine="420" w:firstLineChars="200"/>
        <w:rPr>
          <w:rFonts w:ascii="宋体" w:hAnsi="宋体"/>
        </w:rPr>
      </w:pPr>
      <w:r>
        <w:rPr>
          <w:rFonts w:ascii="宋体" w:hAnsi="宋体"/>
        </w:rPr>
        <w:t>SB/T 10424-2007</w:t>
      </w:r>
      <w:r>
        <w:rPr>
          <w:rFonts w:hint="eastAsia" w:ascii="宋体" w:hAnsi="宋体"/>
        </w:rPr>
        <w:t xml:space="preserve">  </w:t>
      </w:r>
      <w:r>
        <w:rPr>
          <w:rFonts w:ascii="宋体" w:hAnsi="宋体"/>
        </w:rPr>
        <w:t>家用和类似用途电器的安全 自携或远置冷凝机组或压缩机的商用致冷器具的特殊要求</w:t>
      </w:r>
    </w:p>
    <w:p>
      <w:pPr>
        <w:spacing w:line="360" w:lineRule="auto"/>
        <w:ind w:firstLine="420" w:firstLineChars="200"/>
        <w:rPr>
          <w:snapToGrid w:val="0"/>
          <w:color w:val="000000"/>
        </w:rPr>
      </w:pPr>
      <w:r>
        <w:rPr>
          <w:rFonts w:hint="eastAsia"/>
          <w:snapToGrid w:val="0"/>
          <w:color w:val="000000"/>
        </w:rPr>
        <w:t>相关的法律法规、部门规章和规范</w:t>
      </w:r>
    </w:p>
    <w:p>
      <w:pPr>
        <w:spacing w:line="360" w:lineRule="auto"/>
        <w:ind w:firstLine="420" w:firstLineChars="200"/>
        <w:rPr>
          <w:snapToGrid w:val="0"/>
          <w:color w:val="000000"/>
        </w:rPr>
      </w:pPr>
      <w:r>
        <w:rPr>
          <w:rFonts w:hint="eastAsia"/>
          <w:snapToGrid w:val="0"/>
          <w:color w:val="000000"/>
        </w:rPr>
        <w:t>企业明示标准及产品明示质量要求</w:t>
      </w:r>
      <w:r>
        <w:rPr>
          <w:rFonts w:hint="eastAsia"/>
          <w:snapToGrid w:val="0"/>
          <w:color w:val="000000"/>
          <w:lang w:eastAsia="zh-CN"/>
        </w:rPr>
        <w:t>。</w:t>
      </w:r>
      <w:bookmarkStart w:id="0" w:name="_GoBack"/>
      <w:bookmarkEnd w:id="0"/>
    </w:p>
    <w:p>
      <w:pPr>
        <w:snapToGrid w:val="0"/>
        <w:spacing w:line="360" w:lineRule="auto"/>
        <w:rPr>
          <w:rFonts w:ascii="宋体" w:hAnsi="宋体" w:cs="宋体"/>
          <w:color w:val="000000"/>
          <w:kern w:val="0"/>
        </w:rPr>
      </w:pPr>
      <w:r>
        <w:rPr>
          <w:rFonts w:ascii="宋体" w:hAnsi="宋体"/>
          <w:b/>
          <w:bCs/>
        </w:rPr>
        <w:t xml:space="preserve">6 </w:t>
      </w:r>
      <w:r>
        <w:rPr>
          <w:rFonts w:hint="eastAsia" w:ascii="宋体" w:hAnsi="宋体" w:cs="宋体"/>
          <w:b/>
          <w:bCs/>
        </w:rPr>
        <w:t>抽样</w:t>
      </w:r>
    </w:p>
    <w:p>
      <w:pPr>
        <w:snapToGrid w:val="0"/>
        <w:spacing w:line="360" w:lineRule="auto"/>
        <w:rPr>
          <w:rFonts w:ascii="宋体" w:hAnsi="宋体" w:cs="宋体"/>
          <w:b/>
          <w:color w:val="000000"/>
          <w:kern w:val="0"/>
        </w:rPr>
      </w:pPr>
      <w:r>
        <w:rPr>
          <w:rFonts w:hint="eastAsia" w:ascii="宋体" w:hAnsi="宋体" w:cs="宋体"/>
          <w:b/>
          <w:color w:val="000000"/>
          <w:kern w:val="0"/>
        </w:rPr>
        <w:t>6.1 抽样型号或规格</w:t>
      </w:r>
    </w:p>
    <w:p>
      <w:pPr>
        <w:snapToGrid w:val="0"/>
        <w:spacing w:line="360" w:lineRule="auto"/>
        <w:ind w:firstLine="420" w:firstLineChars="200"/>
        <w:rPr>
          <w:rFonts w:ascii="宋体" w:hAnsi="宋体" w:cs="宋体"/>
          <w:color w:val="000000"/>
          <w:kern w:val="0"/>
        </w:rPr>
      </w:pPr>
      <w:r>
        <w:rPr>
          <w:rFonts w:hint="eastAsia" w:ascii="宋体" w:hAnsi="宋体" w:cs="宋体"/>
          <w:color w:val="000000"/>
          <w:kern w:val="0"/>
        </w:rPr>
        <w:t>抽取样品应为同一型号规格、同一批次的产品。优先下列抽取产品：</w:t>
      </w:r>
      <w:r>
        <w:rPr>
          <w:rFonts w:ascii="宋体" w:hAnsi="宋体" w:cs="宋体"/>
          <w:color w:val="000000"/>
          <w:kern w:val="0"/>
        </w:rPr>
        <w:t xml:space="preserve"> </w:t>
      </w:r>
    </w:p>
    <w:p>
      <w:pPr>
        <w:snapToGrid w:val="0"/>
        <w:spacing w:line="360" w:lineRule="auto"/>
        <w:ind w:firstLine="420" w:firstLineChars="200"/>
        <w:rPr>
          <w:rFonts w:ascii="宋体" w:hAnsi="宋体" w:cs="宋体"/>
          <w:color w:val="000000"/>
          <w:kern w:val="0"/>
        </w:rPr>
      </w:pPr>
      <w:r>
        <w:rPr>
          <w:rFonts w:hint="eastAsia" w:ascii="宋体" w:hAnsi="宋体" w:cs="宋体"/>
          <w:color w:val="000000"/>
          <w:kern w:val="0"/>
        </w:rPr>
        <w:t>额定总容积在300L-1000L封闭式带玻璃门或实体门的</w:t>
      </w:r>
      <w:r>
        <w:rPr>
          <w:rFonts w:hint="eastAsia" w:cs="宋体"/>
        </w:rPr>
        <w:t>商用冷柜,包含500L以上的家用大冰箱产品</w:t>
      </w:r>
      <w:r>
        <w:rPr>
          <w:rFonts w:hint="eastAsia" w:ascii="宋体" w:hAnsi="宋体" w:cs="宋体"/>
          <w:color w:val="000000"/>
          <w:kern w:val="0"/>
        </w:rPr>
        <w:t>。</w:t>
      </w:r>
    </w:p>
    <w:p>
      <w:pPr>
        <w:spacing w:line="360" w:lineRule="auto"/>
        <w:rPr>
          <w:rFonts w:ascii="宋体" w:hAnsi="宋体" w:cs="宋体"/>
          <w:b/>
          <w:color w:val="000000"/>
          <w:kern w:val="0"/>
        </w:rPr>
      </w:pPr>
      <w:r>
        <w:rPr>
          <w:rFonts w:hint="eastAsia" w:ascii="宋体" w:hAnsi="宋体" w:cs="宋体"/>
          <w:b/>
          <w:color w:val="000000"/>
          <w:kern w:val="0"/>
        </w:rPr>
        <w:t>6.2 抽样方法及数量</w:t>
      </w:r>
    </w:p>
    <w:p>
      <w:pPr>
        <w:snapToGrid w:val="0"/>
        <w:spacing w:line="360" w:lineRule="auto"/>
        <w:ind w:firstLine="420" w:firstLineChars="200"/>
        <w:rPr>
          <w:rFonts w:cs="宋体"/>
          <w:kern w:val="0"/>
        </w:rPr>
      </w:pPr>
      <w:r>
        <w:rPr>
          <w:rFonts w:hint="eastAsia" w:cs="宋体"/>
          <w:kern w:val="0"/>
        </w:rPr>
        <w:t>在企业的成品库内、成品堆放区中随机抽取有产品质量检验合格证明或者以其他形式表明合格的、近期生产的产品（特殊情况除外）。</w:t>
      </w:r>
    </w:p>
    <w:p>
      <w:pPr>
        <w:snapToGrid w:val="0"/>
        <w:spacing w:line="360" w:lineRule="auto"/>
        <w:ind w:firstLine="420" w:firstLineChars="200"/>
        <w:rPr>
          <w:rFonts w:cs="宋体"/>
          <w:kern w:val="0"/>
        </w:rPr>
      </w:pPr>
      <w:r>
        <w:rPr>
          <w:rFonts w:hint="eastAsia" w:cs="宋体"/>
          <w:kern w:val="0"/>
        </w:rPr>
        <w:t>抽样基数满足抽样数量即可。</w:t>
      </w:r>
    </w:p>
    <w:p>
      <w:pPr>
        <w:snapToGrid w:val="0"/>
        <w:spacing w:line="360" w:lineRule="auto"/>
        <w:ind w:firstLine="403" w:firstLineChars="192"/>
        <w:rPr>
          <w:rFonts w:cs="宋体"/>
          <w:kern w:val="0"/>
        </w:rPr>
      </w:pPr>
      <w:r>
        <w:rPr>
          <w:rFonts w:hint="eastAsia" w:cs="宋体"/>
          <w:kern w:val="0"/>
        </w:rPr>
        <w:t>每个企业随机抽取</w:t>
      </w:r>
      <w:r>
        <w:rPr>
          <w:rFonts w:cs="宋体"/>
          <w:kern w:val="0"/>
        </w:rPr>
        <w:t>1</w:t>
      </w:r>
      <w:r>
        <w:rPr>
          <w:rFonts w:hint="eastAsia" w:cs="宋体"/>
          <w:kern w:val="0"/>
        </w:rPr>
        <w:t>种具有代表性的规格型号的产品，共抽取样品3台，其中2台作为检验样品，</w:t>
      </w:r>
      <w:r>
        <w:rPr>
          <w:rFonts w:cs="宋体"/>
          <w:kern w:val="0"/>
        </w:rPr>
        <w:t>1</w:t>
      </w:r>
      <w:r>
        <w:rPr>
          <w:rFonts w:hint="eastAsia" w:cs="宋体"/>
          <w:kern w:val="0"/>
        </w:rPr>
        <w:t>台作为备用样品，备用样品</w:t>
      </w:r>
      <w:r>
        <w:rPr>
          <w:rFonts w:ascii="Verdana" w:hAnsi="Verdana"/>
          <w:color w:val="000000"/>
          <w:shd w:val="clear" w:color="auto" w:fill="FFFFFF"/>
        </w:rPr>
        <w:t>封存在企业，企业必须对封样进行妥善保管，在检验完毕前，不能拆封封条。</w:t>
      </w:r>
    </w:p>
    <w:p>
      <w:pPr>
        <w:snapToGrid w:val="0"/>
        <w:spacing w:line="360" w:lineRule="auto"/>
        <w:ind w:firstLine="403" w:firstLineChars="192"/>
        <w:rPr>
          <w:rFonts w:cs="宋体"/>
          <w:kern w:val="0"/>
        </w:rPr>
      </w:pPr>
      <w:r>
        <w:rPr>
          <w:rFonts w:hint="eastAsia" w:cs="宋体"/>
          <w:kern w:val="0"/>
        </w:rPr>
        <w:t>随机数一般可使用随机数表、骰子或扑克牌等方法产生。</w:t>
      </w:r>
    </w:p>
    <w:p>
      <w:pPr>
        <w:spacing w:line="360" w:lineRule="auto"/>
        <w:rPr>
          <w:rFonts w:ascii="宋体" w:hAnsi="宋体" w:cs="宋体"/>
          <w:b/>
          <w:color w:val="000000"/>
          <w:kern w:val="0"/>
        </w:rPr>
      </w:pPr>
      <w:r>
        <w:rPr>
          <w:rFonts w:hint="eastAsia" w:ascii="宋体" w:hAnsi="宋体" w:cs="宋体"/>
          <w:b/>
          <w:color w:val="000000"/>
          <w:kern w:val="0"/>
        </w:rPr>
        <w:t>6.3 样品处置</w:t>
      </w:r>
    </w:p>
    <w:p>
      <w:pPr>
        <w:spacing w:line="360" w:lineRule="auto"/>
        <w:ind w:firstLine="420" w:firstLineChars="200"/>
        <w:rPr>
          <w:rFonts w:ascii="宋体" w:hAnsi="宋体" w:cs="宋体"/>
          <w:color w:val="000000"/>
          <w:kern w:val="0"/>
        </w:rPr>
      </w:pPr>
      <w:r>
        <w:rPr>
          <w:rFonts w:hint="eastAsia" w:cs="宋体"/>
          <w:kern w:val="0"/>
        </w:rPr>
        <w:t>检验用样品及备用</w:t>
      </w:r>
      <w:r>
        <w:rPr>
          <w:rFonts w:hint="eastAsia"/>
          <w:kern w:val="0"/>
        </w:rPr>
        <w:t>（</w:t>
      </w:r>
      <w:r>
        <w:rPr>
          <w:rFonts w:hint="eastAsia" w:cs="宋体"/>
          <w:kern w:val="0"/>
        </w:rPr>
        <w:t>复验</w:t>
      </w:r>
      <w:r>
        <w:rPr>
          <w:rFonts w:hint="eastAsia"/>
          <w:kern w:val="0"/>
        </w:rPr>
        <w:t>）</w:t>
      </w:r>
      <w:r>
        <w:rPr>
          <w:rFonts w:hint="eastAsia" w:cs="宋体"/>
          <w:kern w:val="0"/>
        </w:rPr>
        <w:t>样品应分别封样，并寄、送至指定的检验机构相关部门。如</w:t>
      </w:r>
      <w:r>
        <w:rPr>
          <w:rFonts w:hint="eastAsia" w:ascii="宋体" w:hAnsi="宋体" w:cs="宋体"/>
        </w:rPr>
        <w:t>产品包装或说明书等材料</w:t>
      </w:r>
      <w:r>
        <w:rPr>
          <w:rFonts w:hint="eastAsia" w:cs="宋体"/>
          <w:kern w:val="0"/>
        </w:rPr>
        <w:t>上标明特殊储存或搬运要求，样品应按要求进行处置。</w:t>
      </w:r>
    </w:p>
    <w:p>
      <w:pPr>
        <w:spacing w:line="360" w:lineRule="auto"/>
        <w:rPr>
          <w:rFonts w:ascii="宋体" w:hAnsi="宋体" w:cs="宋体"/>
          <w:b/>
          <w:color w:val="000000"/>
          <w:kern w:val="0"/>
        </w:rPr>
      </w:pPr>
      <w:r>
        <w:rPr>
          <w:rFonts w:hint="eastAsia" w:ascii="宋体" w:hAnsi="宋体" w:cs="宋体"/>
          <w:b/>
          <w:color w:val="000000"/>
          <w:kern w:val="0"/>
        </w:rPr>
        <w:t>6.4 抽样单</w:t>
      </w:r>
    </w:p>
    <w:p>
      <w:pPr>
        <w:spacing w:line="360" w:lineRule="auto"/>
        <w:ind w:firstLine="420" w:firstLineChars="200"/>
        <w:rPr>
          <w:rFonts w:ascii="宋体" w:hAnsi="宋体" w:cs="宋体"/>
          <w:color w:val="000000"/>
          <w:kern w:val="0"/>
        </w:rPr>
      </w:pPr>
      <w:r>
        <w:rPr>
          <w:rFonts w:hint="eastAsia" w:ascii="宋体" w:hAnsi="宋体" w:cs="宋体"/>
        </w:rPr>
        <w:t>应按有关规定填写抽样单，并记录被抽查产品及企业相关信息。同时记录被抽查企业上一年度生产的</w:t>
      </w:r>
      <w:r>
        <w:rPr>
          <w:rFonts w:hint="eastAsia" w:cs="宋体"/>
        </w:rPr>
        <w:t>商用冷柜</w:t>
      </w:r>
      <w:r>
        <w:rPr>
          <w:rFonts w:hint="eastAsia" w:ascii="宋体" w:hAnsi="宋体" w:cs="宋体"/>
        </w:rPr>
        <w:t>产品销售总额（以万元计）；若企业上一年度未生产，则记录本年度实际销售额，并加以注明。对于产品检验所需的样品技术参数等信息，需要被抽企业提供的，应在抽样现场获取，并经企业确认。</w:t>
      </w:r>
    </w:p>
    <w:p>
      <w:pPr>
        <w:spacing w:line="360" w:lineRule="auto"/>
        <w:rPr>
          <w:rFonts w:ascii="宋体"/>
          <w:b/>
          <w:bCs/>
          <w:kern w:val="0"/>
        </w:rPr>
      </w:pPr>
      <w:r>
        <w:rPr>
          <w:rFonts w:ascii="宋体" w:hAnsi="宋体" w:cs="宋体"/>
          <w:b/>
          <w:bCs/>
          <w:kern w:val="0"/>
        </w:rPr>
        <w:t xml:space="preserve">7 </w:t>
      </w:r>
      <w:r>
        <w:rPr>
          <w:rFonts w:hint="eastAsia" w:ascii="宋体" w:hAnsi="宋体" w:cs="宋体"/>
          <w:b/>
          <w:bCs/>
          <w:kern w:val="0"/>
        </w:rPr>
        <w:t>检验要求</w:t>
      </w:r>
    </w:p>
    <w:p>
      <w:pPr>
        <w:snapToGrid w:val="0"/>
        <w:spacing w:line="360" w:lineRule="auto"/>
        <w:rPr>
          <w:rFonts w:ascii="宋体"/>
          <w:kern w:val="0"/>
        </w:rPr>
      </w:pPr>
      <w:r>
        <w:rPr>
          <w:rFonts w:ascii="宋体" w:hAnsi="宋体" w:cs="宋体"/>
          <w:b/>
          <w:bCs/>
          <w:kern w:val="0"/>
        </w:rPr>
        <w:t>7.1</w:t>
      </w:r>
      <w:r>
        <w:rPr>
          <w:rFonts w:hint="eastAsia" w:ascii="宋体" w:hAnsi="宋体" w:cs="宋体"/>
          <w:kern w:val="0"/>
        </w:rPr>
        <w:t>检验项目及重要程度分类</w:t>
      </w:r>
    </w:p>
    <w:p>
      <w:pPr>
        <w:snapToGrid w:val="0"/>
        <w:spacing w:line="360" w:lineRule="auto"/>
        <w:ind w:firstLine="420"/>
        <w:rPr>
          <w:rFonts w:ascii="宋体" w:hAnsi="宋体" w:cs="宋体"/>
          <w:kern w:val="0"/>
        </w:rPr>
      </w:pPr>
      <w:r>
        <w:rPr>
          <w:rFonts w:hint="eastAsia" w:cs="宋体"/>
        </w:rPr>
        <w:t>商用冷柜</w:t>
      </w:r>
      <w:r>
        <w:rPr>
          <w:rFonts w:hint="eastAsia" w:ascii="宋体" w:hAnsi="宋体" w:cs="宋体"/>
          <w:kern w:val="0"/>
        </w:rPr>
        <w:t>的检验项目及重要程度分类见表</w:t>
      </w:r>
      <w:r>
        <w:rPr>
          <w:rFonts w:ascii="宋体" w:hAnsi="宋体" w:cs="宋体"/>
          <w:kern w:val="0"/>
        </w:rPr>
        <w:t>3</w:t>
      </w:r>
      <w:r>
        <w:rPr>
          <w:rFonts w:hint="eastAsia" w:ascii="宋体" w:hAnsi="宋体" w:cs="宋体"/>
          <w:kern w:val="0"/>
        </w:rPr>
        <w:t>：</w:t>
      </w:r>
    </w:p>
    <w:p>
      <w:pPr>
        <w:snapToGrid w:val="0"/>
        <w:spacing w:beforeLines="50" w:afterLines="50"/>
        <w:jc w:val="center"/>
        <w:rPr>
          <w:b/>
          <w:bCs/>
          <w:kern w:val="0"/>
          <w:sz w:val="21"/>
          <w:szCs w:val="21"/>
        </w:rPr>
      </w:pPr>
      <w:r>
        <w:rPr>
          <w:rFonts w:hint="eastAsia" w:ascii="宋体" w:hAnsi="宋体" w:cs="宋体"/>
          <w:b/>
          <w:kern w:val="0"/>
          <w:sz w:val="21"/>
          <w:szCs w:val="21"/>
        </w:rPr>
        <w:t>表</w:t>
      </w:r>
      <w:r>
        <w:rPr>
          <w:rFonts w:ascii="宋体" w:hAnsi="宋体" w:cs="宋体"/>
          <w:b/>
          <w:kern w:val="0"/>
          <w:sz w:val="21"/>
          <w:szCs w:val="21"/>
        </w:rPr>
        <w:t xml:space="preserve">3 </w:t>
      </w:r>
      <w:r>
        <w:rPr>
          <w:rFonts w:hint="eastAsia" w:ascii="宋体" w:hAnsi="宋体" w:cs="宋体"/>
          <w:b/>
          <w:kern w:val="0"/>
          <w:sz w:val="21"/>
          <w:szCs w:val="21"/>
        </w:rPr>
        <w:t xml:space="preserve"> 商用冷柜检验项目及重要程度分类</w:t>
      </w:r>
    </w:p>
    <w:tbl>
      <w:tblPr>
        <w:tblStyle w:val="7"/>
        <w:tblW w:w="87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713"/>
        <w:gridCol w:w="1958"/>
        <w:gridCol w:w="1018"/>
        <w:gridCol w:w="1843"/>
        <w:gridCol w:w="942"/>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515" w:type="dxa"/>
            <w:vMerge w:val="restart"/>
            <w:vAlign w:val="center"/>
          </w:tcPr>
          <w:p>
            <w:pPr>
              <w:snapToGrid w:val="0"/>
              <w:jc w:val="center"/>
              <w:rPr>
                <w:sz w:val="21"/>
                <w:szCs w:val="21"/>
              </w:rPr>
            </w:pPr>
            <w:r>
              <w:rPr>
                <w:rFonts w:hAnsi="宋体"/>
                <w:sz w:val="21"/>
                <w:szCs w:val="21"/>
              </w:rPr>
              <w:t>序号</w:t>
            </w:r>
          </w:p>
        </w:tc>
        <w:tc>
          <w:tcPr>
            <w:tcW w:w="1713" w:type="dxa"/>
            <w:vMerge w:val="restart"/>
            <w:vAlign w:val="center"/>
          </w:tcPr>
          <w:p>
            <w:pPr>
              <w:snapToGrid w:val="0"/>
              <w:jc w:val="center"/>
              <w:rPr>
                <w:sz w:val="21"/>
                <w:szCs w:val="21"/>
              </w:rPr>
            </w:pPr>
            <w:r>
              <w:rPr>
                <w:rFonts w:hAnsi="宋体"/>
                <w:sz w:val="21"/>
                <w:szCs w:val="21"/>
              </w:rPr>
              <w:t>检验项目</w:t>
            </w:r>
          </w:p>
        </w:tc>
        <w:tc>
          <w:tcPr>
            <w:tcW w:w="1958" w:type="dxa"/>
            <w:vMerge w:val="restart"/>
            <w:vAlign w:val="center"/>
          </w:tcPr>
          <w:p>
            <w:pPr>
              <w:snapToGrid w:val="0"/>
              <w:jc w:val="center"/>
              <w:rPr>
                <w:sz w:val="21"/>
                <w:szCs w:val="21"/>
              </w:rPr>
            </w:pPr>
            <w:r>
              <w:rPr>
                <w:rFonts w:hAnsi="宋体"/>
                <w:sz w:val="21"/>
                <w:szCs w:val="21"/>
              </w:rPr>
              <w:t>依据法律法规</w:t>
            </w:r>
          </w:p>
          <w:p>
            <w:pPr>
              <w:snapToGrid w:val="0"/>
              <w:jc w:val="center"/>
              <w:rPr>
                <w:sz w:val="21"/>
                <w:szCs w:val="21"/>
              </w:rPr>
            </w:pPr>
            <w:r>
              <w:rPr>
                <w:rFonts w:hAnsi="宋体"/>
                <w:sz w:val="21"/>
                <w:szCs w:val="21"/>
              </w:rPr>
              <w:t>或标准条款</w:t>
            </w:r>
          </w:p>
        </w:tc>
        <w:tc>
          <w:tcPr>
            <w:tcW w:w="1018" w:type="dxa"/>
            <w:vMerge w:val="restart"/>
            <w:vAlign w:val="center"/>
          </w:tcPr>
          <w:p>
            <w:pPr>
              <w:snapToGrid w:val="0"/>
              <w:jc w:val="center"/>
              <w:rPr>
                <w:sz w:val="21"/>
                <w:szCs w:val="21"/>
              </w:rPr>
            </w:pPr>
            <w:r>
              <w:rPr>
                <w:rFonts w:hAnsi="宋体"/>
                <w:sz w:val="21"/>
                <w:szCs w:val="21"/>
              </w:rPr>
              <w:t>强制性</w:t>
            </w:r>
            <w:r>
              <w:rPr>
                <w:sz w:val="21"/>
                <w:szCs w:val="21"/>
              </w:rPr>
              <w:t>/</w:t>
            </w:r>
          </w:p>
          <w:p>
            <w:pPr>
              <w:snapToGrid w:val="0"/>
              <w:jc w:val="center"/>
              <w:rPr>
                <w:sz w:val="21"/>
                <w:szCs w:val="21"/>
              </w:rPr>
            </w:pPr>
            <w:r>
              <w:rPr>
                <w:rFonts w:hAnsi="宋体"/>
                <w:sz w:val="21"/>
                <w:szCs w:val="21"/>
              </w:rPr>
              <w:t>推荐性</w:t>
            </w:r>
          </w:p>
        </w:tc>
        <w:tc>
          <w:tcPr>
            <w:tcW w:w="1843" w:type="dxa"/>
            <w:vMerge w:val="restart"/>
            <w:vAlign w:val="center"/>
          </w:tcPr>
          <w:p>
            <w:pPr>
              <w:snapToGrid w:val="0"/>
              <w:jc w:val="center"/>
              <w:rPr>
                <w:sz w:val="21"/>
                <w:szCs w:val="21"/>
              </w:rPr>
            </w:pPr>
            <w:r>
              <w:rPr>
                <w:rFonts w:hAnsi="宋体"/>
                <w:sz w:val="21"/>
                <w:szCs w:val="21"/>
              </w:rPr>
              <w:t>检测方法</w:t>
            </w:r>
          </w:p>
        </w:tc>
        <w:tc>
          <w:tcPr>
            <w:tcW w:w="1658" w:type="dxa"/>
            <w:gridSpan w:val="2"/>
            <w:vAlign w:val="center"/>
          </w:tcPr>
          <w:p>
            <w:pPr>
              <w:snapToGrid w:val="0"/>
              <w:jc w:val="center"/>
              <w:rPr>
                <w:sz w:val="21"/>
                <w:szCs w:val="21"/>
              </w:rPr>
            </w:pPr>
            <w:r>
              <w:rPr>
                <w:rFonts w:hAnsi="宋体"/>
                <w:sz w:val="21"/>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515" w:type="dxa"/>
            <w:vMerge w:val="continue"/>
            <w:vAlign w:val="center"/>
          </w:tcPr>
          <w:p>
            <w:pPr>
              <w:snapToGrid w:val="0"/>
              <w:jc w:val="center"/>
              <w:rPr>
                <w:sz w:val="21"/>
                <w:szCs w:val="21"/>
              </w:rPr>
            </w:pPr>
          </w:p>
        </w:tc>
        <w:tc>
          <w:tcPr>
            <w:tcW w:w="1713" w:type="dxa"/>
            <w:vMerge w:val="continue"/>
            <w:vAlign w:val="center"/>
          </w:tcPr>
          <w:p>
            <w:pPr>
              <w:snapToGrid w:val="0"/>
              <w:jc w:val="center"/>
              <w:rPr>
                <w:sz w:val="21"/>
                <w:szCs w:val="21"/>
              </w:rPr>
            </w:pPr>
          </w:p>
        </w:tc>
        <w:tc>
          <w:tcPr>
            <w:tcW w:w="1958" w:type="dxa"/>
            <w:vMerge w:val="continue"/>
            <w:vAlign w:val="center"/>
          </w:tcPr>
          <w:p>
            <w:pPr>
              <w:snapToGrid w:val="0"/>
              <w:jc w:val="center"/>
              <w:rPr>
                <w:sz w:val="21"/>
                <w:szCs w:val="21"/>
              </w:rPr>
            </w:pPr>
          </w:p>
        </w:tc>
        <w:tc>
          <w:tcPr>
            <w:tcW w:w="1018" w:type="dxa"/>
            <w:vMerge w:val="continue"/>
            <w:vAlign w:val="center"/>
          </w:tcPr>
          <w:p>
            <w:pPr>
              <w:snapToGrid w:val="0"/>
              <w:jc w:val="center"/>
              <w:rPr>
                <w:sz w:val="21"/>
                <w:szCs w:val="21"/>
              </w:rPr>
            </w:pPr>
          </w:p>
        </w:tc>
        <w:tc>
          <w:tcPr>
            <w:tcW w:w="1843" w:type="dxa"/>
            <w:vMerge w:val="continue"/>
            <w:vAlign w:val="center"/>
          </w:tcPr>
          <w:p>
            <w:pPr>
              <w:snapToGrid w:val="0"/>
              <w:jc w:val="center"/>
              <w:rPr>
                <w:sz w:val="21"/>
                <w:szCs w:val="21"/>
              </w:rPr>
            </w:pPr>
          </w:p>
        </w:tc>
        <w:tc>
          <w:tcPr>
            <w:tcW w:w="942" w:type="dxa"/>
            <w:vAlign w:val="center"/>
          </w:tcPr>
          <w:p>
            <w:pPr>
              <w:snapToGrid w:val="0"/>
              <w:jc w:val="center"/>
              <w:rPr>
                <w:sz w:val="21"/>
                <w:szCs w:val="21"/>
              </w:rPr>
            </w:pPr>
            <w:r>
              <w:rPr>
                <w:sz w:val="21"/>
                <w:szCs w:val="21"/>
              </w:rPr>
              <w:t>A</w:t>
            </w:r>
            <w:r>
              <w:rPr>
                <w:rFonts w:hAnsi="宋体"/>
                <w:sz w:val="21"/>
                <w:szCs w:val="21"/>
              </w:rPr>
              <w:t>类</w:t>
            </w:r>
            <w:r>
              <w:rPr>
                <w:sz w:val="21"/>
                <w:szCs w:val="21"/>
                <w:vertAlign w:val="superscript"/>
              </w:rPr>
              <w:t>a</w:t>
            </w:r>
          </w:p>
        </w:tc>
        <w:tc>
          <w:tcPr>
            <w:tcW w:w="716" w:type="dxa"/>
            <w:vAlign w:val="center"/>
          </w:tcPr>
          <w:p>
            <w:pPr>
              <w:snapToGrid w:val="0"/>
              <w:jc w:val="center"/>
              <w:rPr>
                <w:sz w:val="21"/>
                <w:szCs w:val="21"/>
              </w:rPr>
            </w:pPr>
            <w:r>
              <w:rPr>
                <w:sz w:val="21"/>
                <w:szCs w:val="21"/>
              </w:rPr>
              <w:t>B</w:t>
            </w:r>
            <w:r>
              <w:rPr>
                <w:rFonts w:hAnsi="宋体"/>
                <w:sz w:val="21"/>
                <w:szCs w:val="21"/>
              </w:rPr>
              <w:t>类</w:t>
            </w:r>
            <w:r>
              <w:rPr>
                <w:sz w:val="21"/>
                <w:szCs w:val="21"/>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515" w:type="dxa"/>
            <w:vMerge w:val="restart"/>
            <w:vAlign w:val="center"/>
          </w:tcPr>
          <w:p>
            <w:pPr>
              <w:numPr>
                <w:ilvl w:val="0"/>
                <w:numId w:val="1"/>
              </w:numPr>
              <w:jc w:val="center"/>
              <w:rPr>
                <w:sz w:val="21"/>
                <w:szCs w:val="21"/>
              </w:rPr>
            </w:pPr>
          </w:p>
        </w:tc>
        <w:tc>
          <w:tcPr>
            <w:tcW w:w="1713" w:type="dxa"/>
            <w:vMerge w:val="restart"/>
            <w:vAlign w:val="center"/>
          </w:tcPr>
          <w:p>
            <w:pPr>
              <w:jc w:val="center"/>
              <w:rPr>
                <w:sz w:val="21"/>
                <w:szCs w:val="21"/>
              </w:rPr>
            </w:pPr>
            <w:r>
              <w:rPr>
                <w:rFonts w:hAnsi="宋体"/>
                <w:sz w:val="21"/>
                <w:szCs w:val="21"/>
              </w:rPr>
              <w:t>标志和说明</w:t>
            </w:r>
          </w:p>
        </w:tc>
        <w:tc>
          <w:tcPr>
            <w:tcW w:w="1958"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1018" w:type="dxa"/>
            <w:vAlign w:val="center"/>
          </w:tcPr>
          <w:p>
            <w:pPr>
              <w:jc w:val="center"/>
              <w:rPr>
                <w:sz w:val="21"/>
                <w:szCs w:val="21"/>
              </w:rPr>
            </w:pPr>
            <w:r>
              <w:rPr>
                <w:rFonts w:hAnsi="宋体"/>
                <w:sz w:val="21"/>
                <w:szCs w:val="21"/>
              </w:rPr>
              <w:t>强制性</w:t>
            </w:r>
          </w:p>
        </w:tc>
        <w:tc>
          <w:tcPr>
            <w:tcW w:w="1843"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942" w:type="dxa"/>
            <w:vMerge w:val="restart"/>
            <w:vAlign w:val="center"/>
          </w:tcPr>
          <w:p>
            <w:pPr>
              <w:jc w:val="center"/>
              <w:rPr>
                <w:sz w:val="21"/>
                <w:szCs w:val="21"/>
              </w:rPr>
            </w:pPr>
          </w:p>
        </w:tc>
        <w:tc>
          <w:tcPr>
            <w:tcW w:w="716" w:type="dxa"/>
            <w:vMerge w:val="restart"/>
            <w:vAlign w:val="center"/>
          </w:tcPr>
          <w:p>
            <w:pPr>
              <w:jc w:val="center"/>
              <w:rPr>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515" w:type="dxa"/>
            <w:vMerge w:val="continue"/>
            <w:vAlign w:val="center"/>
          </w:tcPr>
          <w:p>
            <w:pPr>
              <w:numPr>
                <w:ilvl w:val="0"/>
                <w:numId w:val="1"/>
              </w:numPr>
              <w:jc w:val="center"/>
              <w:rPr>
                <w:sz w:val="21"/>
                <w:szCs w:val="21"/>
              </w:rPr>
            </w:pPr>
          </w:p>
        </w:tc>
        <w:tc>
          <w:tcPr>
            <w:tcW w:w="1713" w:type="dxa"/>
            <w:vMerge w:val="continue"/>
            <w:vAlign w:val="center"/>
          </w:tcPr>
          <w:p>
            <w:pPr>
              <w:jc w:val="center"/>
              <w:rPr>
                <w:rFonts w:hAnsi="宋体"/>
                <w:sz w:val="21"/>
                <w:szCs w:val="21"/>
              </w:rPr>
            </w:pPr>
          </w:p>
        </w:tc>
        <w:tc>
          <w:tcPr>
            <w:tcW w:w="1958" w:type="dxa"/>
            <w:vAlign w:val="center"/>
          </w:tcPr>
          <w:p>
            <w:pPr>
              <w:jc w:val="center"/>
              <w:rPr>
                <w:sz w:val="21"/>
                <w:szCs w:val="21"/>
              </w:rPr>
            </w:pPr>
            <w:r>
              <w:rPr>
                <w:sz w:val="21"/>
                <w:szCs w:val="21"/>
              </w:rPr>
              <w:t>SB/T 10424</w:t>
            </w:r>
          </w:p>
        </w:tc>
        <w:tc>
          <w:tcPr>
            <w:tcW w:w="1018" w:type="dxa"/>
            <w:vAlign w:val="center"/>
          </w:tcPr>
          <w:p>
            <w:pPr>
              <w:jc w:val="center"/>
              <w:rPr>
                <w:rFonts w:hAnsi="宋体"/>
                <w:sz w:val="21"/>
                <w:szCs w:val="21"/>
              </w:rPr>
            </w:pPr>
            <w:r>
              <w:rPr>
                <w:rFonts w:hAnsi="宋体"/>
                <w:sz w:val="21"/>
                <w:szCs w:val="21"/>
              </w:rPr>
              <w:t>推荐性</w:t>
            </w:r>
          </w:p>
        </w:tc>
        <w:tc>
          <w:tcPr>
            <w:tcW w:w="1843" w:type="dxa"/>
            <w:vAlign w:val="center"/>
          </w:tcPr>
          <w:p>
            <w:pPr>
              <w:jc w:val="center"/>
              <w:rPr>
                <w:sz w:val="21"/>
                <w:szCs w:val="21"/>
              </w:rPr>
            </w:pPr>
            <w:r>
              <w:rPr>
                <w:sz w:val="21"/>
                <w:szCs w:val="21"/>
              </w:rPr>
              <w:t>SB/T 10424</w:t>
            </w:r>
          </w:p>
        </w:tc>
        <w:tc>
          <w:tcPr>
            <w:tcW w:w="942" w:type="dxa"/>
            <w:vMerge w:val="continue"/>
            <w:vAlign w:val="center"/>
          </w:tcPr>
          <w:p>
            <w:pPr>
              <w:jc w:val="center"/>
              <w:rPr>
                <w:sz w:val="21"/>
                <w:szCs w:val="21"/>
              </w:rPr>
            </w:pPr>
          </w:p>
        </w:tc>
        <w:tc>
          <w:tcPr>
            <w:tcW w:w="716"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515" w:type="dxa"/>
            <w:vMerge w:val="restart"/>
            <w:vAlign w:val="center"/>
          </w:tcPr>
          <w:p>
            <w:pPr>
              <w:numPr>
                <w:ilvl w:val="0"/>
                <w:numId w:val="1"/>
              </w:numPr>
              <w:jc w:val="center"/>
              <w:rPr>
                <w:sz w:val="21"/>
                <w:szCs w:val="21"/>
              </w:rPr>
            </w:pPr>
          </w:p>
        </w:tc>
        <w:tc>
          <w:tcPr>
            <w:tcW w:w="1713" w:type="dxa"/>
            <w:vMerge w:val="restart"/>
            <w:vAlign w:val="center"/>
          </w:tcPr>
          <w:p>
            <w:pPr>
              <w:jc w:val="center"/>
              <w:rPr>
                <w:sz w:val="21"/>
                <w:szCs w:val="21"/>
              </w:rPr>
            </w:pPr>
            <w:r>
              <w:rPr>
                <w:rFonts w:hAnsi="宋体"/>
                <w:sz w:val="21"/>
                <w:szCs w:val="21"/>
              </w:rPr>
              <w:t>对触及带电部件的防护</w:t>
            </w:r>
          </w:p>
        </w:tc>
        <w:tc>
          <w:tcPr>
            <w:tcW w:w="1958"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1018" w:type="dxa"/>
            <w:vAlign w:val="center"/>
          </w:tcPr>
          <w:p>
            <w:pPr>
              <w:jc w:val="center"/>
              <w:rPr>
                <w:sz w:val="21"/>
                <w:szCs w:val="21"/>
              </w:rPr>
            </w:pPr>
            <w:r>
              <w:rPr>
                <w:rFonts w:hAnsi="宋体"/>
                <w:sz w:val="21"/>
                <w:szCs w:val="21"/>
              </w:rPr>
              <w:t>强制性</w:t>
            </w:r>
          </w:p>
        </w:tc>
        <w:tc>
          <w:tcPr>
            <w:tcW w:w="1843"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942" w:type="dxa"/>
            <w:vMerge w:val="restart"/>
            <w:vAlign w:val="center"/>
          </w:tcPr>
          <w:p>
            <w:pPr>
              <w:jc w:val="center"/>
              <w:rPr>
                <w:sz w:val="21"/>
                <w:szCs w:val="21"/>
              </w:rPr>
            </w:pPr>
            <w:r>
              <w:rPr>
                <w:sz w:val="21"/>
                <w:szCs w:val="21"/>
              </w:rPr>
              <w:t>●</w:t>
            </w:r>
          </w:p>
        </w:tc>
        <w:tc>
          <w:tcPr>
            <w:tcW w:w="716" w:type="dxa"/>
            <w:vMerge w:val="restart"/>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515" w:type="dxa"/>
            <w:vMerge w:val="continue"/>
            <w:vAlign w:val="center"/>
          </w:tcPr>
          <w:p>
            <w:pPr>
              <w:numPr>
                <w:ilvl w:val="0"/>
                <w:numId w:val="1"/>
              </w:numPr>
              <w:jc w:val="center"/>
              <w:rPr>
                <w:sz w:val="21"/>
                <w:szCs w:val="21"/>
              </w:rPr>
            </w:pPr>
          </w:p>
        </w:tc>
        <w:tc>
          <w:tcPr>
            <w:tcW w:w="1713" w:type="dxa"/>
            <w:vMerge w:val="continue"/>
            <w:vAlign w:val="center"/>
          </w:tcPr>
          <w:p>
            <w:pPr>
              <w:jc w:val="center"/>
              <w:rPr>
                <w:rFonts w:hAnsi="宋体"/>
                <w:sz w:val="21"/>
                <w:szCs w:val="21"/>
              </w:rPr>
            </w:pPr>
          </w:p>
        </w:tc>
        <w:tc>
          <w:tcPr>
            <w:tcW w:w="1958" w:type="dxa"/>
            <w:vAlign w:val="center"/>
          </w:tcPr>
          <w:p>
            <w:pPr>
              <w:jc w:val="center"/>
              <w:rPr>
                <w:sz w:val="21"/>
                <w:szCs w:val="21"/>
              </w:rPr>
            </w:pPr>
            <w:r>
              <w:rPr>
                <w:sz w:val="21"/>
                <w:szCs w:val="21"/>
              </w:rPr>
              <w:t>SB/T 10424</w:t>
            </w:r>
          </w:p>
        </w:tc>
        <w:tc>
          <w:tcPr>
            <w:tcW w:w="1018" w:type="dxa"/>
            <w:vAlign w:val="center"/>
          </w:tcPr>
          <w:p>
            <w:pPr>
              <w:jc w:val="center"/>
              <w:rPr>
                <w:rFonts w:hAnsi="宋体"/>
                <w:sz w:val="21"/>
                <w:szCs w:val="21"/>
              </w:rPr>
            </w:pPr>
            <w:r>
              <w:rPr>
                <w:rFonts w:hAnsi="宋体"/>
                <w:sz w:val="21"/>
                <w:szCs w:val="21"/>
              </w:rPr>
              <w:t>推荐性</w:t>
            </w:r>
          </w:p>
        </w:tc>
        <w:tc>
          <w:tcPr>
            <w:tcW w:w="1843" w:type="dxa"/>
            <w:vAlign w:val="center"/>
          </w:tcPr>
          <w:p>
            <w:pPr>
              <w:jc w:val="center"/>
              <w:rPr>
                <w:sz w:val="21"/>
                <w:szCs w:val="21"/>
              </w:rPr>
            </w:pPr>
            <w:r>
              <w:rPr>
                <w:sz w:val="21"/>
                <w:szCs w:val="21"/>
              </w:rPr>
              <w:t>SB/T 10424</w:t>
            </w:r>
          </w:p>
        </w:tc>
        <w:tc>
          <w:tcPr>
            <w:tcW w:w="942" w:type="dxa"/>
            <w:vMerge w:val="continue"/>
            <w:vAlign w:val="center"/>
          </w:tcPr>
          <w:p>
            <w:pPr>
              <w:jc w:val="center"/>
              <w:rPr>
                <w:sz w:val="21"/>
                <w:szCs w:val="21"/>
              </w:rPr>
            </w:pPr>
          </w:p>
        </w:tc>
        <w:tc>
          <w:tcPr>
            <w:tcW w:w="716" w:type="dxa"/>
            <w:vMerge w:val="continue"/>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515" w:type="dxa"/>
            <w:vMerge w:val="restart"/>
            <w:vAlign w:val="center"/>
          </w:tcPr>
          <w:p>
            <w:pPr>
              <w:numPr>
                <w:ilvl w:val="0"/>
                <w:numId w:val="1"/>
              </w:numPr>
              <w:jc w:val="center"/>
              <w:rPr>
                <w:sz w:val="21"/>
                <w:szCs w:val="21"/>
              </w:rPr>
            </w:pPr>
          </w:p>
        </w:tc>
        <w:tc>
          <w:tcPr>
            <w:tcW w:w="1713" w:type="dxa"/>
            <w:vMerge w:val="restart"/>
            <w:vAlign w:val="center"/>
          </w:tcPr>
          <w:p>
            <w:pPr>
              <w:jc w:val="center"/>
              <w:rPr>
                <w:sz w:val="21"/>
                <w:szCs w:val="21"/>
              </w:rPr>
            </w:pPr>
            <w:r>
              <w:rPr>
                <w:rFonts w:hAnsi="宋体"/>
                <w:sz w:val="21"/>
                <w:szCs w:val="21"/>
              </w:rPr>
              <w:t>输入电流</w:t>
            </w:r>
          </w:p>
        </w:tc>
        <w:tc>
          <w:tcPr>
            <w:tcW w:w="1958"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1018" w:type="dxa"/>
            <w:vAlign w:val="center"/>
          </w:tcPr>
          <w:p>
            <w:pPr>
              <w:jc w:val="center"/>
              <w:rPr>
                <w:sz w:val="21"/>
                <w:szCs w:val="21"/>
              </w:rPr>
            </w:pPr>
            <w:r>
              <w:rPr>
                <w:rFonts w:hAnsi="宋体"/>
                <w:sz w:val="21"/>
                <w:szCs w:val="21"/>
              </w:rPr>
              <w:t>强制性</w:t>
            </w:r>
          </w:p>
        </w:tc>
        <w:tc>
          <w:tcPr>
            <w:tcW w:w="1843"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942" w:type="dxa"/>
            <w:vMerge w:val="restart"/>
            <w:vAlign w:val="center"/>
          </w:tcPr>
          <w:p>
            <w:pPr>
              <w:snapToGrid w:val="0"/>
              <w:jc w:val="center"/>
              <w:rPr>
                <w:sz w:val="21"/>
                <w:szCs w:val="21"/>
              </w:rPr>
            </w:pPr>
            <w:r>
              <w:rPr>
                <w:sz w:val="21"/>
                <w:szCs w:val="21"/>
              </w:rPr>
              <w:t>●</w:t>
            </w:r>
          </w:p>
        </w:tc>
        <w:tc>
          <w:tcPr>
            <w:tcW w:w="716" w:type="dxa"/>
            <w:vMerge w:val="restart"/>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515" w:type="dxa"/>
            <w:vMerge w:val="continue"/>
            <w:vAlign w:val="center"/>
          </w:tcPr>
          <w:p>
            <w:pPr>
              <w:numPr>
                <w:ilvl w:val="0"/>
                <w:numId w:val="1"/>
              </w:numPr>
              <w:jc w:val="center"/>
              <w:rPr>
                <w:sz w:val="21"/>
                <w:szCs w:val="21"/>
              </w:rPr>
            </w:pPr>
          </w:p>
        </w:tc>
        <w:tc>
          <w:tcPr>
            <w:tcW w:w="1713" w:type="dxa"/>
            <w:vMerge w:val="continue"/>
            <w:vAlign w:val="center"/>
          </w:tcPr>
          <w:p>
            <w:pPr>
              <w:jc w:val="center"/>
              <w:rPr>
                <w:rFonts w:hAnsi="宋体"/>
                <w:sz w:val="21"/>
                <w:szCs w:val="21"/>
              </w:rPr>
            </w:pPr>
          </w:p>
        </w:tc>
        <w:tc>
          <w:tcPr>
            <w:tcW w:w="1958" w:type="dxa"/>
            <w:vAlign w:val="center"/>
          </w:tcPr>
          <w:p>
            <w:pPr>
              <w:jc w:val="center"/>
              <w:rPr>
                <w:sz w:val="21"/>
                <w:szCs w:val="21"/>
              </w:rPr>
            </w:pPr>
            <w:r>
              <w:rPr>
                <w:sz w:val="21"/>
                <w:szCs w:val="21"/>
              </w:rPr>
              <w:t>SB/T 10424</w:t>
            </w:r>
          </w:p>
        </w:tc>
        <w:tc>
          <w:tcPr>
            <w:tcW w:w="1018" w:type="dxa"/>
            <w:vAlign w:val="center"/>
          </w:tcPr>
          <w:p>
            <w:pPr>
              <w:jc w:val="center"/>
              <w:rPr>
                <w:rFonts w:hAnsi="宋体"/>
                <w:sz w:val="21"/>
                <w:szCs w:val="21"/>
              </w:rPr>
            </w:pPr>
            <w:r>
              <w:rPr>
                <w:rFonts w:hAnsi="宋体"/>
                <w:sz w:val="21"/>
                <w:szCs w:val="21"/>
              </w:rPr>
              <w:t>推荐性</w:t>
            </w:r>
          </w:p>
        </w:tc>
        <w:tc>
          <w:tcPr>
            <w:tcW w:w="1843" w:type="dxa"/>
            <w:vAlign w:val="center"/>
          </w:tcPr>
          <w:p>
            <w:pPr>
              <w:jc w:val="center"/>
              <w:rPr>
                <w:sz w:val="21"/>
                <w:szCs w:val="21"/>
              </w:rPr>
            </w:pPr>
            <w:r>
              <w:rPr>
                <w:sz w:val="21"/>
                <w:szCs w:val="21"/>
              </w:rPr>
              <w:t>SB/T 10424</w:t>
            </w:r>
          </w:p>
        </w:tc>
        <w:tc>
          <w:tcPr>
            <w:tcW w:w="942" w:type="dxa"/>
            <w:vMerge w:val="continue"/>
            <w:vAlign w:val="center"/>
          </w:tcPr>
          <w:p>
            <w:pPr>
              <w:snapToGrid w:val="0"/>
              <w:jc w:val="center"/>
              <w:rPr>
                <w:sz w:val="21"/>
                <w:szCs w:val="21"/>
              </w:rPr>
            </w:pPr>
          </w:p>
        </w:tc>
        <w:tc>
          <w:tcPr>
            <w:tcW w:w="716" w:type="dxa"/>
            <w:vMerge w:val="continue"/>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15" w:type="dxa"/>
            <w:vMerge w:val="restart"/>
            <w:vAlign w:val="center"/>
          </w:tcPr>
          <w:p>
            <w:pPr>
              <w:numPr>
                <w:ilvl w:val="0"/>
                <w:numId w:val="1"/>
              </w:numPr>
              <w:jc w:val="center"/>
              <w:rPr>
                <w:sz w:val="21"/>
                <w:szCs w:val="21"/>
              </w:rPr>
            </w:pPr>
          </w:p>
        </w:tc>
        <w:tc>
          <w:tcPr>
            <w:tcW w:w="1713" w:type="dxa"/>
            <w:vMerge w:val="restart"/>
            <w:vAlign w:val="center"/>
          </w:tcPr>
          <w:p>
            <w:pPr>
              <w:jc w:val="center"/>
              <w:rPr>
                <w:sz w:val="21"/>
                <w:szCs w:val="21"/>
              </w:rPr>
            </w:pPr>
            <w:r>
              <w:rPr>
                <w:rFonts w:hAnsi="宋体"/>
                <w:sz w:val="21"/>
                <w:szCs w:val="21"/>
              </w:rPr>
              <w:t>发热</w:t>
            </w:r>
          </w:p>
        </w:tc>
        <w:tc>
          <w:tcPr>
            <w:tcW w:w="1958"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1018" w:type="dxa"/>
            <w:vAlign w:val="center"/>
          </w:tcPr>
          <w:p>
            <w:pPr>
              <w:jc w:val="center"/>
              <w:rPr>
                <w:sz w:val="21"/>
                <w:szCs w:val="21"/>
              </w:rPr>
            </w:pPr>
            <w:r>
              <w:rPr>
                <w:rFonts w:hAnsi="宋体"/>
                <w:sz w:val="21"/>
                <w:szCs w:val="21"/>
              </w:rPr>
              <w:t>强制性</w:t>
            </w:r>
          </w:p>
        </w:tc>
        <w:tc>
          <w:tcPr>
            <w:tcW w:w="1843"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942" w:type="dxa"/>
            <w:vMerge w:val="restart"/>
            <w:vAlign w:val="center"/>
          </w:tcPr>
          <w:p>
            <w:pPr>
              <w:snapToGrid w:val="0"/>
              <w:jc w:val="center"/>
              <w:rPr>
                <w:sz w:val="21"/>
                <w:szCs w:val="21"/>
              </w:rPr>
            </w:pPr>
            <w:r>
              <w:rPr>
                <w:sz w:val="21"/>
                <w:szCs w:val="21"/>
              </w:rPr>
              <w:t>●</w:t>
            </w:r>
          </w:p>
        </w:tc>
        <w:tc>
          <w:tcPr>
            <w:tcW w:w="716" w:type="dxa"/>
            <w:vMerge w:val="restart"/>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515" w:type="dxa"/>
            <w:vMerge w:val="continue"/>
            <w:vAlign w:val="center"/>
          </w:tcPr>
          <w:p>
            <w:pPr>
              <w:numPr>
                <w:ilvl w:val="0"/>
                <w:numId w:val="1"/>
              </w:numPr>
              <w:jc w:val="center"/>
              <w:rPr>
                <w:sz w:val="21"/>
                <w:szCs w:val="21"/>
              </w:rPr>
            </w:pPr>
          </w:p>
        </w:tc>
        <w:tc>
          <w:tcPr>
            <w:tcW w:w="1713" w:type="dxa"/>
            <w:vMerge w:val="continue"/>
            <w:vAlign w:val="center"/>
          </w:tcPr>
          <w:p>
            <w:pPr>
              <w:jc w:val="center"/>
              <w:rPr>
                <w:rFonts w:hAnsi="宋体"/>
                <w:sz w:val="21"/>
                <w:szCs w:val="21"/>
              </w:rPr>
            </w:pPr>
          </w:p>
        </w:tc>
        <w:tc>
          <w:tcPr>
            <w:tcW w:w="1958" w:type="dxa"/>
            <w:vAlign w:val="center"/>
          </w:tcPr>
          <w:p>
            <w:pPr>
              <w:jc w:val="center"/>
              <w:rPr>
                <w:sz w:val="21"/>
                <w:szCs w:val="21"/>
              </w:rPr>
            </w:pPr>
            <w:r>
              <w:rPr>
                <w:sz w:val="21"/>
                <w:szCs w:val="21"/>
              </w:rPr>
              <w:t>SB/T 10424</w:t>
            </w:r>
          </w:p>
        </w:tc>
        <w:tc>
          <w:tcPr>
            <w:tcW w:w="1018" w:type="dxa"/>
            <w:vAlign w:val="center"/>
          </w:tcPr>
          <w:p>
            <w:pPr>
              <w:jc w:val="center"/>
              <w:rPr>
                <w:rFonts w:hAnsi="宋体"/>
                <w:sz w:val="21"/>
                <w:szCs w:val="21"/>
              </w:rPr>
            </w:pPr>
            <w:r>
              <w:rPr>
                <w:rFonts w:hAnsi="宋体"/>
                <w:sz w:val="21"/>
                <w:szCs w:val="21"/>
              </w:rPr>
              <w:t>推荐性</w:t>
            </w:r>
          </w:p>
        </w:tc>
        <w:tc>
          <w:tcPr>
            <w:tcW w:w="1843" w:type="dxa"/>
            <w:vAlign w:val="center"/>
          </w:tcPr>
          <w:p>
            <w:pPr>
              <w:jc w:val="center"/>
              <w:rPr>
                <w:sz w:val="21"/>
                <w:szCs w:val="21"/>
              </w:rPr>
            </w:pPr>
            <w:r>
              <w:rPr>
                <w:sz w:val="21"/>
                <w:szCs w:val="21"/>
              </w:rPr>
              <w:t>SB/T 10424</w:t>
            </w:r>
          </w:p>
        </w:tc>
        <w:tc>
          <w:tcPr>
            <w:tcW w:w="942" w:type="dxa"/>
            <w:vMerge w:val="continue"/>
            <w:vAlign w:val="center"/>
          </w:tcPr>
          <w:p>
            <w:pPr>
              <w:snapToGrid w:val="0"/>
              <w:jc w:val="center"/>
              <w:rPr>
                <w:sz w:val="21"/>
                <w:szCs w:val="21"/>
              </w:rPr>
            </w:pPr>
          </w:p>
        </w:tc>
        <w:tc>
          <w:tcPr>
            <w:tcW w:w="716" w:type="dxa"/>
            <w:vMerge w:val="continue"/>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515" w:type="dxa"/>
            <w:vMerge w:val="restart"/>
            <w:vAlign w:val="center"/>
          </w:tcPr>
          <w:p>
            <w:pPr>
              <w:numPr>
                <w:ilvl w:val="0"/>
                <w:numId w:val="1"/>
              </w:numPr>
              <w:jc w:val="center"/>
              <w:rPr>
                <w:sz w:val="21"/>
                <w:szCs w:val="21"/>
              </w:rPr>
            </w:pPr>
          </w:p>
        </w:tc>
        <w:tc>
          <w:tcPr>
            <w:tcW w:w="1713" w:type="dxa"/>
            <w:vMerge w:val="restart"/>
            <w:vAlign w:val="center"/>
          </w:tcPr>
          <w:p>
            <w:pPr>
              <w:jc w:val="center"/>
              <w:rPr>
                <w:sz w:val="21"/>
                <w:szCs w:val="21"/>
              </w:rPr>
            </w:pPr>
            <w:r>
              <w:rPr>
                <w:rFonts w:hAnsi="宋体"/>
                <w:sz w:val="21"/>
                <w:szCs w:val="21"/>
              </w:rPr>
              <w:t>工作温度下的泄漏电流和电气强度</w:t>
            </w:r>
          </w:p>
        </w:tc>
        <w:tc>
          <w:tcPr>
            <w:tcW w:w="1958"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1018" w:type="dxa"/>
            <w:vAlign w:val="center"/>
          </w:tcPr>
          <w:p>
            <w:pPr>
              <w:jc w:val="center"/>
              <w:rPr>
                <w:sz w:val="21"/>
                <w:szCs w:val="21"/>
              </w:rPr>
            </w:pPr>
            <w:r>
              <w:rPr>
                <w:rFonts w:hAnsi="宋体"/>
                <w:sz w:val="21"/>
                <w:szCs w:val="21"/>
              </w:rPr>
              <w:t>强制性</w:t>
            </w:r>
          </w:p>
        </w:tc>
        <w:tc>
          <w:tcPr>
            <w:tcW w:w="1843"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942" w:type="dxa"/>
            <w:vMerge w:val="restart"/>
            <w:vAlign w:val="center"/>
          </w:tcPr>
          <w:p>
            <w:pPr>
              <w:snapToGrid w:val="0"/>
              <w:jc w:val="center"/>
              <w:rPr>
                <w:sz w:val="21"/>
                <w:szCs w:val="21"/>
              </w:rPr>
            </w:pPr>
            <w:r>
              <w:rPr>
                <w:sz w:val="21"/>
                <w:szCs w:val="21"/>
              </w:rPr>
              <w:t>●</w:t>
            </w:r>
          </w:p>
        </w:tc>
        <w:tc>
          <w:tcPr>
            <w:tcW w:w="716" w:type="dxa"/>
            <w:vMerge w:val="restart"/>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15" w:type="dxa"/>
            <w:vMerge w:val="continue"/>
            <w:vAlign w:val="center"/>
          </w:tcPr>
          <w:p>
            <w:pPr>
              <w:numPr>
                <w:ilvl w:val="0"/>
                <w:numId w:val="1"/>
              </w:numPr>
              <w:jc w:val="center"/>
              <w:rPr>
                <w:sz w:val="21"/>
                <w:szCs w:val="21"/>
              </w:rPr>
            </w:pPr>
          </w:p>
        </w:tc>
        <w:tc>
          <w:tcPr>
            <w:tcW w:w="1713" w:type="dxa"/>
            <w:vMerge w:val="continue"/>
            <w:vAlign w:val="center"/>
          </w:tcPr>
          <w:p>
            <w:pPr>
              <w:jc w:val="center"/>
              <w:rPr>
                <w:rFonts w:hAnsi="宋体"/>
                <w:sz w:val="21"/>
                <w:szCs w:val="21"/>
              </w:rPr>
            </w:pPr>
          </w:p>
        </w:tc>
        <w:tc>
          <w:tcPr>
            <w:tcW w:w="1958" w:type="dxa"/>
            <w:vAlign w:val="center"/>
          </w:tcPr>
          <w:p>
            <w:pPr>
              <w:jc w:val="center"/>
              <w:rPr>
                <w:sz w:val="21"/>
                <w:szCs w:val="21"/>
              </w:rPr>
            </w:pPr>
            <w:r>
              <w:rPr>
                <w:sz w:val="21"/>
                <w:szCs w:val="21"/>
              </w:rPr>
              <w:t>SB/T 10424</w:t>
            </w:r>
          </w:p>
        </w:tc>
        <w:tc>
          <w:tcPr>
            <w:tcW w:w="1018" w:type="dxa"/>
            <w:vAlign w:val="center"/>
          </w:tcPr>
          <w:p>
            <w:pPr>
              <w:jc w:val="center"/>
              <w:rPr>
                <w:rFonts w:hAnsi="宋体"/>
                <w:sz w:val="21"/>
                <w:szCs w:val="21"/>
              </w:rPr>
            </w:pPr>
            <w:r>
              <w:rPr>
                <w:rFonts w:hAnsi="宋体"/>
                <w:sz w:val="21"/>
                <w:szCs w:val="21"/>
              </w:rPr>
              <w:t>推荐性</w:t>
            </w:r>
          </w:p>
        </w:tc>
        <w:tc>
          <w:tcPr>
            <w:tcW w:w="1843" w:type="dxa"/>
            <w:vAlign w:val="center"/>
          </w:tcPr>
          <w:p>
            <w:pPr>
              <w:jc w:val="center"/>
              <w:rPr>
                <w:sz w:val="21"/>
                <w:szCs w:val="21"/>
              </w:rPr>
            </w:pPr>
            <w:r>
              <w:rPr>
                <w:sz w:val="21"/>
                <w:szCs w:val="21"/>
              </w:rPr>
              <w:t>SB/T 10424</w:t>
            </w:r>
          </w:p>
        </w:tc>
        <w:tc>
          <w:tcPr>
            <w:tcW w:w="942" w:type="dxa"/>
            <w:vMerge w:val="continue"/>
            <w:vAlign w:val="center"/>
          </w:tcPr>
          <w:p>
            <w:pPr>
              <w:snapToGrid w:val="0"/>
              <w:jc w:val="center"/>
              <w:rPr>
                <w:sz w:val="21"/>
                <w:szCs w:val="21"/>
              </w:rPr>
            </w:pPr>
          </w:p>
        </w:tc>
        <w:tc>
          <w:tcPr>
            <w:tcW w:w="716" w:type="dxa"/>
            <w:vMerge w:val="continue"/>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515" w:type="dxa"/>
            <w:vMerge w:val="restart"/>
            <w:vAlign w:val="center"/>
          </w:tcPr>
          <w:p>
            <w:pPr>
              <w:numPr>
                <w:ilvl w:val="0"/>
                <w:numId w:val="1"/>
              </w:numPr>
              <w:jc w:val="center"/>
              <w:rPr>
                <w:sz w:val="21"/>
                <w:szCs w:val="21"/>
              </w:rPr>
            </w:pPr>
          </w:p>
        </w:tc>
        <w:tc>
          <w:tcPr>
            <w:tcW w:w="1713" w:type="dxa"/>
            <w:vMerge w:val="restart"/>
            <w:vAlign w:val="center"/>
          </w:tcPr>
          <w:p>
            <w:pPr>
              <w:jc w:val="center"/>
              <w:rPr>
                <w:sz w:val="21"/>
                <w:szCs w:val="21"/>
              </w:rPr>
            </w:pPr>
            <w:r>
              <w:rPr>
                <w:rFonts w:hAnsi="宋体"/>
                <w:sz w:val="21"/>
                <w:szCs w:val="21"/>
              </w:rPr>
              <w:t>耐潮湿</w:t>
            </w:r>
          </w:p>
        </w:tc>
        <w:tc>
          <w:tcPr>
            <w:tcW w:w="1958"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1018" w:type="dxa"/>
            <w:vAlign w:val="center"/>
          </w:tcPr>
          <w:p>
            <w:pPr>
              <w:jc w:val="center"/>
              <w:rPr>
                <w:sz w:val="21"/>
                <w:szCs w:val="21"/>
              </w:rPr>
            </w:pPr>
            <w:r>
              <w:rPr>
                <w:rFonts w:hAnsi="宋体"/>
                <w:sz w:val="21"/>
                <w:szCs w:val="21"/>
              </w:rPr>
              <w:t>强制性</w:t>
            </w:r>
          </w:p>
        </w:tc>
        <w:tc>
          <w:tcPr>
            <w:tcW w:w="1843"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942" w:type="dxa"/>
            <w:vMerge w:val="restart"/>
            <w:vAlign w:val="center"/>
          </w:tcPr>
          <w:p>
            <w:pPr>
              <w:snapToGrid w:val="0"/>
              <w:jc w:val="center"/>
              <w:rPr>
                <w:sz w:val="21"/>
                <w:szCs w:val="21"/>
              </w:rPr>
            </w:pPr>
            <w:r>
              <w:rPr>
                <w:sz w:val="21"/>
                <w:szCs w:val="21"/>
              </w:rPr>
              <w:t>●</w:t>
            </w:r>
          </w:p>
        </w:tc>
        <w:tc>
          <w:tcPr>
            <w:tcW w:w="716" w:type="dxa"/>
            <w:vMerge w:val="restart"/>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515" w:type="dxa"/>
            <w:vMerge w:val="continue"/>
            <w:vAlign w:val="center"/>
          </w:tcPr>
          <w:p>
            <w:pPr>
              <w:numPr>
                <w:ilvl w:val="0"/>
                <w:numId w:val="1"/>
              </w:numPr>
              <w:jc w:val="center"/>
              <w:rPr>
                <w:sz w:val="21"/>
                <w:szCs w:val="21"/>
              </w:rPr>
            </w:pPr>
          </w:p>
        </w:tc>
        <w:tc>
          <w:tcPr>
            <w:tcW w:w="1713" w:type="dxa"/>
            <w:vMerge w:val="continue"/>
            <w:vAlign w:val="center"/>
          </w:tcPr>
          <w:p>
            <w:pPr>
              <w:jc w:val="center"/>
              <w:rPr>
                <w:rFonts w:hAnsi="宋体"/>
                <w:sz w:val="21"/>
                <w:szCs w:val="21"/>
              </w:rPr>
            </w:pPr>
          </w:p>
        </w:tc>
        <w:tc>
          <w:tcPr>
            <w:tcW w:w="1958" w:type="dxa"/>
            <w:vAlign w:val="center"/>
          </w:tcPr>
          <w:p>
            <w:pPr>
              <w:jc w:val="center"/>
              <w:rPr>
                <w:sz w:val="21"/>
                <w:szCs w:val="21"/>
              </w:rPr>
            </w:pPr>
            <w:r>
              <w:rPr>
                <w:sz w:val="21"/>
                <w:szCs w:val="21"/>
              </w:rPr>
              <w:t>SB/T 10424</w:t>
            </w:r>
          </w:p>
        </w:tc>
        <w:tc>
          <w:tcPr>
            <w:tcW w:w="1018" w:type="dxa"/>
            <w:vAlign w:val="center"/>
          </w:tcPr>
          <w:p>
            <w:pPr>
              <w:jc w:val="center"/>
              <w:rPr>
                <w:rFonts w:hAnsi="宋体"/>
                <w:sz w:val="21"/>
                <w:szCs w:val="21"/>
              </w:rPr>
            </w:pPr>
            <w:r>
              <w:rPr>
                <w:rFonts w:hAnsi="宋体"/>
                <w:sz w:val="21"/>
                <w:szCs w:val="21"/>
              </w:rPr>
              <w:t>推荐性</w:t>
            </w:r>
          </w:p>
        </w:tc>
        <w:tc>
          <w:tcPr>
            <w:tcW w:w="1843" w:type="dxa"/>
            <w:vAlign w:val="center"/>
          </w:tcPr>
          <w:p>
            <w:pPr>
              <w:jc w:val="center"/>
              <w:rPr>
                <w:sz w:val="21"/>
                <w:szCs w:val="21"/>
              </w:rPr>
            </w:pPr>
            <w:r>
              <w:rPr>
                <w:sz w:val="21"/>
                <w:szCs w:val="21"/>
              </w:rPr>
              <w:t>SB/T 10424</w:t>
            </w:r>
          </w:p>
        </w:tc>
        <w:tc>
          <w:tcPr>
            <w:tcW w:w="942" w:type="dxa"/>
            <w:vMerge w:val="continue"/>
            <w:vAlign w:val="center"/>
          </w:tcPr>
          <w:p>
            <w:pPr>
              <w:snapToGrid w:val="0"/>
              <w:jc w:val="center"/>
              <w:rPr>
                <w:sz w:val="21"/>
                <w:szCs w:val="21"/>
              </w:rPr>
            </w:pPr>
          </w:p>
        </w:tc>
        <w:tc>
          <w:tcPr>
            <w:tcW w:w="716" w:type="dxa"/>
            <w:vMerge w:val="continue"/>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515" w:type="dxa"/>
            <w:vMerge w:val="restart"/>
            <w:vAlign w:val="center"/>
          </w:tcPr>
          <w:p>
            <w:pPr>
              <w:numPr>
                <w:ilvl w:val="0"/>
                <w:numId w:val="1"/>
              </w:numPr>
              <w:jc w:val="center"/>
              <w:rPr>
                <w:sz w:val="21"/>
                <w:szCs w:val="21"/>
              </w:rPr>
            </w:pPr>
          </w:p>
        </w:tc>
        <w:tc>
          <w:tcPr>
            <w:tcW w:w="1713" w:type="dxa"/>
            <w:vMerge w:val="restart"/>
            <w:vAlign w:val="center"/>
          </w:tcPr>
          <w:p>
            <w:pPr>
              <w:jc w:val="center"/>
              <w:rPr>
                <w:sz w:val="21"/>
                <w:szCs w:val="21"/>
              </w:rPr>
            </w:pPr>
            <w:r>
              <w:rPr>
                <w:rFonts w:hAnsi="宋体"/>
                <w:sz w:val="21"/>
                <w:szCs w:val="21"/>
              </w:rPr>
              <w:t>泄漏电流和电气强度</w:t>
            </w:r>
          </w:p>
        </w:tc>
        <w:tc>
          <w:tcPr>
            <w:tcW w:w="1958"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1018" w:type="dxa"/>
            <w:vAlign w:val="center"/>
          </w:tcPr>
          <w:p>
            <w:pPr>
              <w:jc w:val="center"/>
              <w:rPr>
                <w:sz w:val="21"/>
                <w:szCs w:val="21"/>
              </w:rPr>
            </w:pPr>
            <w:r>
              <w:rPr>
                <w:rFonts w:hAnsi="宋体"/>
                <w:sz w:val="21"/>
                <w:szCs w:val="21"/>
              </w:rPr>
              <w:t>强制性</w:t>
            </w:r>
          </w:p>
        </w:tc>
        <w:tc>
          <w:tcPr>
            <w:tcW w:w="1843"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942" w:type="dxa"/>
            <w:vMerge w:val="restart"/>
            <w:vAlign w:val="center"/>
          </w:tcPr>
          <w:p>
            <w:pPr>
              <w:snapToGrid w:val="0"/>
              <w:jc w:val="center"/>
              <w:rPr>
                <w:sz w:val="21"/>
                <w:szCs w:val="21"/>
              </w:rPr>
            </w:pPr>
            <w:r>
              <w:rPr>
                <w:sz w:val="21"/>
                <w:szCs w:val="21"/>
              </w:rPr>
              <w:t>●</w:t>
            </w:r>
          </w:p>
        </w:tc>
        <w:tc>
          <w:tcPr>
            <w:tcW w:w="716" w:type="dxa"/>
            <w:vMerge w:val="restart"/>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515" w:type="dxa"/>
            <w:vMerge w:val="continue"/>
            <w:vAlign w:val="center"/>
          </w:tcPr>
          <w:p>
            <w:pPr>
              <w:numPr>
                <w:ilvl w:val="0"/>
                <w:numId w:val="1"/>
              </w:numPr>
              <w:jc w:val="center"/>
              <w:rPr>
                <w:sz w:val="21"/>
                <w:szCs w:val="21"/>
              </w:rPr>
            </w:pPr>
          </w:p>
        </w:tc>
        <w:tc>
          <w:tcPr>
            <w:tcW w:w="1713" w:type="dxa"/>
            <w:vMerge w:val="continue"/>
            <w:vAlign w:val="center"/>
          </w:tcPr>
          <w:p>
            <w:pPr>
              <w:jc w:val="center"/>
              <w:rPr>
                <w:rFonts w:hAnsi="宋体"/>
                <w:sz w:val="21"/>
                <w:szCs w:val="21"/>
              </w:rPr>
            </w:pPr>
          </w:p>
        </w:tc>
        <w:tc>
          <w:tcPr>
            <w:tcW w:w="1958" w:type="dxa"/>
            <w:vAlign w:val="center"/>
          </w:tcPr>
          <w:p>
            <w:pPr>
              <w:jc w:val="center"/>
              <w:rPr>
                <w:sz w:val="21"/>
                <w:szCs w:val="21"/>
              </w:rPr>
            </w:pPr>
            <w:r>
              <w:rPr>
                <w:sz w:val="21"/>
                <w:szCs w:val="21"/>
              </w:rPr>
              <w:t>SB/T 10424</w:t>
            </w:r>
          </w:p>
        </w:tc>
        <w:tc>
          <w:tcPr>
            <w:tcW w:w="1018" w:type="dxa"/>
            <w:vAlign w:val="center"/>
          </w:tcPr>
          <w:p>
            <w:pPr>
              <w:jc w:val="center"/>
              <w:rPr>
                <w:rFonts w:hAnsi="宋体"/>
                <w:sz w:val="21"/>
                <w:szCs w:val="21"/>
              </w:rPr>
            </w:pPr>
            <w:r>
              <w:rPr>
                <w:rFonts w:hAnsi="宋体"/>
                <w:sz w:val="21"/>
                <w:szCs w:val="21"/>
              </w:rPr>
              <w:t>推荐性</w:t>
            </w:r>
          </w:p>
        </w:tc>
        <w:tc>
          <w:tcPr>
            <w:tcW w:w="1843" w:type="dxa"/>
            <w:vAlign w:val="center"/>
          </w:tcPr>
          <w:p>
            <w:pPr>
              <w:jc w:val="center"/>
              <w:rPr>
                <w:sz w:val="21"/>
                <w:szCs w:val="21"/>
              </w:rPr>
            </w:pPr>
            <w:r>
              <w:rPr>
                <w:sz w:val="21"/>
                <w:szCs w:val="21"/>
              </w:rPr>
              <w:t>SB/T 10424</w:t>
            </w:r>
          </w:p>
        </w:tc>
        <w:tc>
          <w:tcPr>
            <w:tcW w:w="942" w:type="dxa"/>
            <w:vMerge w:val="continue"/>
            <w:vAlign w:val="center"/>
          </w:tcPr>
          <w:p>
            <w:pPr>
              <w:snapToGrid w:val="0"/>
              <w:jc w:val="center"/>
              <w:rPr>
                <w:sz w:val="21"/>
                <w:szCs w:val="21"/>
              </w:rPr>
            </w:pPr>
          </w:p>
        </w:tc>
        <w:tc>
          <w:tcPr>
            <w:tcW w:w="716" w:type="dxa"/>
            <w:vMerge w:val="continue"/>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15" w:type="dxa"/>
            <w:vMerge w:val="restart"/>
            <w:vAlign w:val="center"/>
          </w:tcPr>
          <w:p>
            <w:pPr>
              <w:numPr>
                <w:ilvl w:val="0"/>
                <w:numId w:val="1"/>
              </w:numPr>
              <w:jc w:val="center"/>
              <w:rPr>
                <w:sz w:val="21"/>
                <w:szCs w:val="21"/>
              </w:rPr>
            </w:pPr>
          </w:p>
        </w:tc>
        <w:tc>
          <w:tcPr>
            <w:tcW w:w="1713" w:type="dxa"/>
            <w:vMerge w:val="restart"/>
            <w:vAlign w:val="center"/>
          </w:tcPr>
          <w:p>
            <w:pPr>
              <w:jc w:val="center"/>
              <w:rPr>
                <w:color w:val="000000"/>
                <w:sz w:val="21"/>
                <w:szCs w:val="21"/>
              </w:rPr>
            </w:pPr>
            <w:r>
              <w:rPr>
                <w:rFonts w:hAnsi="宋体"/>
                <w:color w:val="000000"/>
                <w:sz w:val="21"/>
                <w:szCs w:val="21"/>
              </w:rPr>
              <w:t>结构</w:t>
            </w:r>
          </w:p>
        </w:tc>
        <w:tc>
          <w:tcPr>
            <w:tcW w:w="1958"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1018" w:type="dxa"/>
            <w:vAlign w:val="center"/>
          </w:tcPr>
          <w:p>
            <w:pPr>
              <w:jc w:val="center"/>
              <w:rPr>
                <w:sz w:val="21"/>
                <w:szCs w:val="21"/>
              </w:rPr>
            </w:pPr>
            <w:r>
              <w:rPr>
                <w:rFonts w:hAnsi="宋体"/>
                <w:sz w:val="21"/>
                <w:szCs w:val="21"/>
              </w:rPr>
              <w:t>强制性</w:t>
            </w:r>
          </w:p>
        </w:tc>
        <w:tc>
          <w:tcPr>
            <w:tcW w:w="1843"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942" w:type="dxa"/>
            <w:vMerge w:val="restart"/>
            <w:vAlign w:val="center"/>
          </w:tcPr>
          <w:p>
            <w:pPr>
              <w:snapToGrid w:val="0"/>
              <w:jc w:val="center"/>
              <w:rPr>
                <w:sz w:val="21"/>
                <w:szCs w:val="21"/>
              </w:rPr>
            </w:pPr>
            <w:r>
              <w:rPr>
                <w:sz w:val="21"/>
                <w:szCs w:val="21"/>
              </w:rPr>
              <w:t>●</w:t>
            </w:r>
          </w:p>
        </w:tc>
        <w:tc>
          <w:tcPr>
            <w:tcW w:w="716" w:type="dxa"/>
            <w:vMerge w:val="restart"/>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515" w:type="dxa"/>
            <w:vMerge w:val="continue"/>
            <w:vAlign w:val="center"/>
          </w:tcPr>
          <w:p>
            <w:pPr>
              <w:numPr>
                <w:ilvl w:val="0"/>
                <w:numId w:val="1"/>
              </w:numPr>
              <w:jc w:val="center"/>
              <w:rPr>
                <w:sz w:val="21"/>
                <w:szCs w:val="21"/>
              </w:rPr>
            </w:pPr>
          </w:p>
        </w:tc>
        <w:tc>
          <w:tcPr>
            <w:tcW w:w="1713" w:type="dxa"/>
            <w:vMerge w:val="continue"/>
            <w:vAlign w:val="center"/>
          </w:tcPr>
          <w:p>
            <w:pPr>
              <w:jc w:val="center"/>
              <w:rPr>
                <w:rFonts w:hAnsi="宋体"/>
                <w:color w:val="000000"/>
                <w:sz w:val="21"/>
                <w:szCs w:val="21"/>
              </w:rPr>
            </w:pPr>
          </w:p>
        </w:tc>
        <w:tc>
          <w:tcPr>
            <w:tcW w:w="1958" w:type="dxa"/>
            <w:vAlign w:val="center"/>
          </w:tcPr>
          <w:p>
            <w:pPr>
              <w:jc w:val="center"/>
              <w:rPr>
                <w:sz w:val="21"/>
                <w:szCs w:val="21"/>
              </w:rPr>
            </w:pPr>
            <w:r>
              <w:rPr>
                <w:sz w:val="21"/>
                <w:szCs w:val="21"/>
              </w:rPr>
              <w:t>SB/T 10424</w:t>
            </w:r>
          </w:p>
        </w:tc>
        <w:tc>
          <w:tcPr>
            <w:tcW w:w="1018" w:type="dxa"/>
            <w:vAlign w:val="center"/>
          </w:tcPr>
          <w:p>
            <w:pPr>
              <w:jc w:val="center"/>
              <w:rPr>
                <w:rFonts w:hAnsi="宋体"/>
                <w:sz w:val="21"/>
                <w:szCs w:val="21"/>
              </w:rPr>
            </w:pPr>
            <w:r>
              <w:rPr>
                <w:rFonts w:hAnsi="宋体"/>
                <w:sz w:val="21"/>
                <w:szCs w:val="21"/>
              </w:rPr>
              <w:t>推荐性</w:t>
            </w:r>
          </w:p>
        </w:tc>
        <w:tc>
          <w:tcPr>
            <w:tcW w:w="1843" w:type="dxa"/>
            <w:vAlign w:val="center"/>
          </w:tcPr>
          <w:p>
            <w:pPr>
              <w:jc w:val="center"/>
              <w:rPr>
                <w:sz w:val="21"/>
                <w:szCs w:val="21"/>
              </w:rPr>
            </w:pPr>
            <w:r>
              <w:rPr>
                <w:sz w:val="21"/>
                <w:szCs w:val="21"/>
              </w:rPr>
              <w:t>SB/T 10424</w:t>
            </w:r>
          </w:p>
        </w:tc>
        <w:tc>
          <w:tcPr>
            <w:tcW w:w="942" w:type="dxa"/>
            <w:vMerge w:val="continue"/>
            <w:vAlign w:val="center"/>
          </w:tcPr>
          <w:p>
            <w:pPr>
              <w:snapToGrid w:val="0"/>
              <w:jc w:val="center"/>
              <w:rPr>
                <w:sz w:val="21"/>
                <w:szCs w:val="21"/>
              </w:rPr>
            </w:pPr>
          </w:p>
        </w:tc>
        <w:tc>
          <w:tcPr>
            <w:tcW w:w="716" w:type="dxa"/>
            <w:vMerge w:val="continue"/>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515" w:type="dxa"/>
            <w:vMerge w:val="restart"/>
            <w:vAlign w:val="center"/>
          </w:tcPr>
          <w:p>
            <w:pPr>
              <w:numPr>
                <w:ilvl w:val="0"/>
                <w:numId w:val="1"/>
              </w:numPr>
              <w:jc w:val="center"/>
              <w:rPr>
                <w:sz w:val="21"/>
                <w:szCs w:val="21"/>
              </w:rPr>
            </w:pPr>
          </w:p>
        </w:tc>
        <w:tc>
          <w:tcPr>
            <w:tcW w:w="1713" w:type="dxa"/>
            <w:vMerge w:val="restart"/>
            <w:vAlign w:val="center"/>
          </w:tcPr>
          <w:p>
            <w:pPr>
              <w:jc w:val="center"/>
              <w:rPr>
                <w:sz w:val="21"/>
                <w:szCs w:val="21"/>
              </w:rPr>
            </w:pPr>
            <w:r>
              <w:rPr>
                <w:rFonts w:hAnsi="宋体"/>
                <w:sz w:val="21"/>
                <w:szCs w:val="21"/>
              </w:rPr>
              <w:t>内部布线</w:t>
            </w:r>
          </w:p>
        </w:tc>
        <w:tc>
          <w:tcPr>
            <w:tcW w:w="1958"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1018" w:type="dxa"/>
            <w:vAlign w:val="center"/>
          </w:tcPr>
          <w:p>
            <w:pPr>
              <w:jc w:val="center"/>
              <w:rPr>
                <w:sz w:val="21"/>
                <w:szCs w:val="21"/>
              </w:rPr>
            </w:pPr>
            <w:r>
              <w:rPr>
                <w:rFonts w:hAnsi="宋体"/>
                <w:sz w:val="21"/>
                <w:szCs w:val="21"/>
              </w:rPr>
              <w:t>强制性</w:t>
            </w:r>
          </w:p>
        </w:tc>
        <w:tc>
          <w:tcPr>
            <w:tcW w:w="1843"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942" w:type="dxa"/>
            <w:vMerge w:val="restart"/>
            <w:vAlign w:val="center"/>
          </w:tcPr>
          <w:p>
            <w:pPr>
              <w:snapToGrid w:val="0"/>
              <w:jc w:val="center"/>
              <w:rPr>
                <w:sz w:val="21"/>
                <w:szCs w:val="21"/>
              </w:rPr>
            </w:pPr>
            <w:r>
              <w:rPr>
                <w:sz w:val="21"/>
                <w:szCs w:val="21"/>
              </w:rPr>
              <w:t>●</w:t>
            </w:r>
          </w:p>
        </w:tc>
        <w:tc>
          <w:tcPr>
            <w:tcW w:w="716" w:type="dxa"/>
            <w:vMerge w:val="restart"/>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515" w:type="dxa"/>
            <w:vMerge w:val="continue"/>
            <w:vAlign w:val="center"/>
          </w:tcPr>
          <w:p>
            <w:pPr>
              <w:numPr>
                <w:ilvl w:val="0"/>
                <w:numId w:val="1"/>
              </w:numPr>
              <w:jc w:val="center"/>
              <w:rPr>
                <w:sz w:val="21"/>
                <w:szCs w:val="21"/>
              </w:rPr>
            </w:pPr>
          </w:p>
        </w:tc>
        <w:tc>
          <w:tcPr>
            <w:tcW w:w="1713" w:type="dxa"/>
            <w:vMerge w:val="continue"/>
            <w:vAlign w:val="center"/>
          </w:tcPr>
          <w:p>
            <w:pPr>
              <w:jc w:val="center"/>
              <w:rPr>
                <w:rFonts w:hAnsi="宋体"/>
                <w:sz w:val="21"/>
                <w:szCs w:val="21"/>
              </w:rPr>
            </w:pPr>
          </w:p>
        </w:tc>
        <w:tc>
          <w:tcPr>
            <w:tcW w:w="1958" w:type="dxa"/>
            <w:vAlign w:val="center"/>
          </w:tcPr>
          <w:p>
            <w:pPr>
              <w:jc w:val="center"/>
              <w:rPr>
                <w:sz w:val="21"/>
                <w:szCs w:val="21"/>
              </w:rPr>
            </w:pPr>
            <w:r>
              <w:rPr>
                <w:sz w:val="21"/>
                <w:szCs w:val="21"/>
              </w:rPr>
              <w:t>SB/T 10424</w:t>
            </w:r>
          </w:p>
        </w:tc>
        <w:tc>
          <w:tcPr>
            <w:tcW w:w="1018" w:type="dxa"/>
            <w:vAlign w:val="center"/>
          </w:tcPr>
          <w:p>
            <w:pPr>
              <w:jc w:val="center"/>
              <w:rPr>
                <w:rFonts w:hAnsi="宋体"/>
                <w:sz w:val="21"/>
                <w:szCs w:val="21"/>
              </w:rPr>
            </w:pPr>
            <w:r>
              <w:rPr>
                <w:rFonts w:hAnsi="宋体"/>
                <w:sz w:val="21"/>
                <w:szCs w:val="21"/>
              </w:rPr>
              <w:t>推荐性</w:t>
            </w:r>
          </w:p>
        </w:tc>
        <w:tc>
          <w:tcPr>
            <w:tcW w:w="1843" w:type="dxa"/>
            <w:vAlign w:val="center"/>
          </w:tcPr>
          <w:p>
            <w:pPr>
              <w:jc w:val="center"/>
              <w:rPr>
                <w:sz w:val="21"/>
                <w:szCs w:val="21"/>
              </w:rPr>
            </w:pPr>
            <w:r>
              <w:rPr>
                <w:sz w:val="21"/>
                <w:szCs w:val="21"/>
              </w:rPr>
              <w:t>SB/T 10424</w:t>
            </w:r>
          </w:p>
        </w:tc>
        <w:tc>
          <w:tcPr>
            <w:tcW w:w="942" w:type="dxa"/>
            <w:vMerge w:val="continue"/>
            <w:vAlign w:val="center"/>
          </w:tcPr>
          <w:p>
            <w:pPr>
              <w:snapToGrid w:val="0"/>
              <w:jc w:val="center"/>
              <w:rPr>
                <w:sz w:val="21"/>
                <w:szCs w:val="21"/>
              </w:rPr>
            </w:pPr>
          </w:p>
        </w:tc>
        <w:tc>
          <w:tcPr>
            <w:tcW w:w="716" w:type="dxa"/>
            <w:vMerge w:val="continue"/>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515" w:type="dxa"/>
            <w:vMerge w:val="restart"/>
            <w:vAlign w:val="center"/>
          </w:tcPr>
          <w:p>
            <w:pPr>
              <w:numPr>
                <w:ilvl w:val="0"/>
                <w:numId w:val="1"/>
              </w:numPr>
              <w:jc w:val="center"/>
              <w:rPr>
                <w:sz w:val="21"/>
                <w:szCs w:val="21"/>
              </w:rPr>
            </w:pPr>
          </w:p>
        </w:tc>
        <w:tc>
          <w:tcPr>
            <w:tcW w:w="1713" w:type="dxa"/>
            <w:vMerge w:val="restart"/>
            <w:vAlign w:val="center"/>
          </w:tcPr>
          <w:p>
            <w:pPr>
              <w:jc w:val="center"/>
              <w:rPr>
                <w:sz w:val="21"/>
                <w:szCs w:val="21"/>
              </w:rPr>
            </w:pPr>
            <w:r>
              <w:rPr>
                <w:rFonts w:hAnsi="宋体"/>
                <w:sz w:val="21"/>
                <w:szCs w:val="21"/>
              </w:rPr>
              <w:t>电源连接和外部软线</w:t>
            </w:r>
          </w:p>
        </w:tc>
        <w:tc>
          <w:tcPr>
            <w:tcW w:w="1958"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1018" w:type="dxa"/>
            <w:vAlign w:val="center"/>
          </w:tcPr>
          <w:p>
            <w:pPr>
              <w:jc w:val="center"/>
              <w:rPr>
                <w:sz w:val="21"/>
                <w:szCs w:val="21"/>
              </w:rPr>
            </w:pPr>
            <w:r>
              <w:rPr>
                <w:rFonts w:hAnsi="宋体"/>
                <w:sz w:val="21"/>
                <w:szCs w:val="21"/>
              </w:rPr>
              <w:t>强制性</w:t>
            </w:r>
          </w:p>
        </w:tc>
        <w:tc>
          <w:tcPr>
            <w:tcW w:w="1843"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942" w:type="dxa"/>
            <w:vMerge w:val="restart"/>
            <w:vAlign w:val="center"/>
          </w:tcPr>
          <w:p>
            <w:pPr>
              <w:snapToGrid w:val="0"/>
              <w:jc w:val="center"/>
              <w:rPr>
                <w:sz w:val="21"/>
                <w:szCs w:val="21"/>
              </w:rPr>
            </w:pPr>
            <w:r>
              <w:rPr>
                <w:sz w:val="21"/>
                <w:szCs w:val="21"/>
              </w:rPr>
              <w:t>●</w:t>
            </w:r>
          </w:p>
        </w:tc>
        <w:tc>
          <w:tcPr>
            <w:tcW w:w="716" w:type="dxa"/>
            <w:vMerge w:val="restart"/>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515" w:type="dxa"/>
            <w:vMerge w:val="continue"/>
            <w:vAlign w:val="center"/>
          </w:tcPr>
          <w:p>
            <w:pPr>
              <w:numPr>
                <w:ilvl w:val="0"/>
                <w:numId w:val="1"/>
              </w:numPr>
              <w:jc w:val="center"/>
              <w:rPr>
                <w:sz w:val="21"/>
                <w:szCs w:val="21"/>
              </w:rPr>
            </w:pPr>
          </w:p>
        </w:tc>
        <w:tc>
          <w:tcPr>
            <w:tcW w:w="1713" w:type="dxa"/>
            <w:vMerge w:val="continue"/>
            <w:vAlign w:val="center"/>
          </w:tcPr>
          <w:p>
            <w:pPr>
              <w:jc w:val="center"/>
              <w:rPr>
                <w:rFonts w:hAnsi="宋体"/>
                <w:sz w:val="21"/>
                <w:szCs w:val="21"/>
              </w:rPr>
            </w:pPr>
          </w:p>
        </w:tc>
        <w:tc>
          <w:tcPr>
            <w:tcW w:w="1958" w:type="dxa"/>
            <w:vAlign w:val="center"/>
          </w:tcPr>
          <w:p>
            <w:pPr>
              <w:jc w:val="center"/>
              <w:rPr>
                <w:sz w:val="21"/>
                <w:szCs w:val="21"/>
              </w:rPr>
            </w:pPr>
            <w:r>
              <w:rPr>
                <w:sz w:val="21"/>
                <w:szCs w:val="21"/>
              </w:rPr>
              <w:t>SB/T 10424</w:t>
            </w:r>
          </w:p>
        </w:tc>
        <w:tc>
          <w:tcPr>
            <w:tcW w:w="1018" w:type="dxa"/>
            <w:vAlign w:val="center"/>
          </w:tcPr>
          <w:p>
            <w:pPr>
              <w:jc w:val="center"/>
              <w:rPr>
                <w:rFonts w:hAnsi="宋体"/>
                <w:sz w:val="21"/>
                <w:szCs w:val="21"/>
              </w:rPr>
            </w:pPr>
            <w:r>
              <w:rPr>
                <w:rFonts w:hAnsi="宋体"/>
                <w:sz w:val="21"/>
                <w:szCs w:val="21"/>
              </w:rPr>
              <w:t>推荐性</w:t>
            </w:r>
          </w:p>
        </w:tc>
        <w:tc>
          <w:tcPr>
            <w:tcW w:w="1843" w:type="dxa"/>
            <w:vAlign w:val="center"/>
          </w:tcPr>
          <w:p>
            <w:pPr>
              <w:jc w:val="center"/>
              <w:rPr>
                <w:sz w:val="21"/>
                <w:szCs w:val="21"/>
              </w:rPr>
            </w:pPr>
            <w:r>
              <w:rPr>
                <w:sz w:val="21"/>
                <w:szCs w:val="21"/>
              </w:rPr>
              <w:t>SB/T 10424</w:t>
            </w:r>
          </w:p>
        </w:tc>
        <w:tc>
          <w:tcPr>
            <w:tcW w:w="942" w:type="dxa"/>
            <w:vMerge w:val="continue"/>
            <w:vAlign w:val="center"/>
          </w:tcPr>
          <w:p>
            <w:pPr>
              <w:snapToGrid w:val="0"/>
              <w:jc w:val="center"/>
              <w:rPr>
                <w:sz w:val="21"/>
                <w:szCs w:val="21"/>
              </w:rPr>
            </w:pPr>
          </w:p>
        </w:tc>
        <w:tc>
          <w:tcPr>
            <w:tcW w:w="716" w:type="dxa"/>
            <w:vMerge w:val="continue"/>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515" w:type="dxa"/>
            <w:vMerge w:val="restart"/>
            <w:vAlign w:val="center"/>
          </w:tcPr>
          <w:p>
            <w:pPr>
              <w:numPr>
                <w:ilvl w:val="0"/>
                <w:numId w:val="1"/>
              </w:numPr>
              <w:jc w:val="center"/>
              <w:rPr>
                <w:sz w:val="21"/>
                <w:szCs w:val="21"/>
              </w:rPr>
            </w:pPr>
          </w:p>
        </w:tc>
        <w:tc>
          <w:tcPr>
            <w:tcW w:w="1713" w:type="dxa"/>
            <w:vMerge w:val="restart"/>
            <w:vAlign w:val="center"/>
          </w:tcPr>
          <w:p>
            <w:pPr>
              <w:jc w:val="center"/>
              <w:rPr>
                <w:sz w:val="21"/>
                <w:szCs w:val="21"/>
              </w:rPr>
            </w:pPr>
            <w:r>
              <w:rPr>
                <w:rFonts w:hAnsi="宋体"/>
                <w:sz w:val="21"/>
                <w:szCs w:val="21"/>
              </w:rPr>
              <w:t>外部导线用接线端子</w:t>
            </w:r>
          </w:p>
        </w:tc>
        <w:tc>
          <w:tcPr>
            <w:tcW w:w="1958"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1018" w:type="dxa"/>
            <w:vAlign w:val="center"/>
          </w:tcPr>
          <w:p>
            <w:pPr>
              <w:jc w:val="center"/>
              <w:rPr>
                <w:sz w:val="21"/>
                <w:szCs w:val="21"/>
              </w:rPr>
            </w:pPr>
            <w:r>
              <w:rPr>
                <w:rFonts w:hAnsi="宋体"/>
                <w:sz w:val="21"/>
                <w:szCs w:val="21"/>
              </w:rPr>
              <w:t>强制性</w:t>
            </w:r>
          </w:p>
        </w:tc>
        <w:tc>
          <w:tcPr>
            <w:tcW w:w="1843"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942" w:type="dxa"/>
            <w:vMerge w:val="restart"/>
            <w:vAlign w:val="center"/>
          </w:tcPr>
          <w:p>
            <w:pPr>
              <w:snapToGrid w:val="0"/>
              <w:jc w:val="center"/>
              <w:rPr>
                <w:sz w:val="21"/>
                <w:szCs w:val="21"/>
              </w:rPr>
            </w:pPr>
            <w:r>
              <w:rPr>
                <w:sz w:val="21"/>
                <w:szCs w:val="21"/>
              </w:rPr>
              <w:t>●</w:t>
            </w:r>
          </w:p>
        </w:tc>
        <w:tc>
          <w:tcPr>
            <w:tcW w:w="716" w:type="dxa"/>
            <w:vMerge w:val="restart"/>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15" w:type="dxa"/>
            <w:vMerge w:val="continue"/>
            <w:vAlign w:val="center"/>
          </w:tcPr>
          <w:p>
            <w:pPr>
              <w:numPr>
                <w:ilvl w:val="0"/>
                <w:numId w:val="1"/>
              </w:numPr>
              <w:jc w:val="center"/>
              <w:rPr>
                <w:sz w:val="21"/>
                <w:szCs w:val="21"/>
              </w:rPr>
            </w:pPr>
          </w:p>
        </w:tc>
        <w:tc>
          <w:tcPr>
            <w:tcW w:w="1713" w:type="dxa"/>
            <w:vMerge w:val="continue"/>
            <w:vAlign w:val="center"/>
          </w:tcPr>
          <w:p>
            <w:pPr>
              <w:jc w:val="center"/>
              <w:rPr>
                <w:rFonts w:hAnsi="宋体"/>
                <w:sz w:val="21"/>
                <w:szCs w:val="21"/>
              </w:rPr>
            </w:pPr>
          </w:p>
        </w:tc>
        <w:tc>
          <w:tcPr>
            <w:tcW w:w="1958" w:type="dxa"/>
            <w:vAlign w:val="center"/>
          </w:tcPr>
          <w:p>
            <w:pPr>
              <w:jc w:val="center"/>
              <w:rPr>
                <w:sz w:val="21"/>
                <w:szCs w:val="21"/>
              </w:rPr>
            </w:pPr>
            <w:r>
              <w:rPr>
                <w:sz w:val="21"/>
                <w:szCs w:val="21"/>
              </w:rPr>
              <w:t>SB/T 10424</w:t>
            </w:r>
          </w:p>
        </w:tc>
        <w:tc>
          <w:tcPr>
            <w:tcW w:w="1018" w:type="dxa"/>
            <w:vAlign w:val="center"/>
          </w:tcPr>
          <w:p>
            <w:pPr>
              <w:jc w:val="center"/>
              <w:rPr>
                <w:rFonts w:hAnsi="宋体"/>
                <w:sz w:val="21"/>
                <w:szCs w:val="21"/>
              </w:rPr>
            </w:pPr>
            <w:r>
              <w:rPr>
                <w:rFonts w:hAnsi="宋体"/>
                <w:sz w:val="21"/>
                <w:szCs w:val="21"/>
              </w:rPr>
              <w:t>推荐性</w:t>
            </w:r>
          </w:p>
        </w:tc>
        <w:tc>
          <w:tcPr>
            <w:tcW w:w="1843" w:type="dxa"/>
            <w:vAlign w:val="center"/>
          </w:tcPr>
          <w:p>
            <w:pPr>
              <w:jc w:val="center"/>
              <w:rPr>
                <w:sz w:val="21"/>
                <w:szCs w:val="21"/>
              </w:rPr>
            </w:pPr>
            <w:r>
              <w:rPr>
                <w:sz w:val="21"/>
                <w:szCs w:val="21"/>
              </w:rPr>
              <w:t>SB/T 10424</w:t>
            </w:r>
          </w:p>
        </w:tc>
        <w:tc>
          <w:tcPr>
            <w:tcW w:w="942" w:type="dxa"/>
            <w:vMerge w:val="continue"/>
            <w:vAlign w:val="center"/>
          </w:tcPr>
          <w:p>
            <w:pPr>
              <w:snapToGrid w:val="0"/>
              <w:jc w:val="center"/>
              <w:rPr>
                <w:sz w:val="21"/>
                <w:szCs w:val="21"/>
              </w:rPr>
            </w:pPr>
          </w:p>
        </w:tc>
        <w:tc>
          <w:tcPr>
            <w:tcW w:w="716" w:type="dxa"/>
            <w:vMerge w:val="continue"/>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515" w:type="dxa"/>
            <w:vMerge w:val="restart"/>
            <w:vAlign w:val="center"/>
          </w:tcPr>
          <w:p>
            <w:pPr>
              <w:numPr>
                <w:ilvl w:val="0"/>
                <w:numId w:val="1"/>
              </w:numPr>
              <w:jc w:val="center"/>
              <w:rPr>
                <w:sz w:val="21"/>
                <w:szCs w:val="21"/>
              </w:rPr>
            </w:pPr>
          </w:p>
        </w:tc>
        <w:tc>
          <w:tcPr>
            <w:tcW w:w="1713" w:type="dxa"/>
            <w:vMerge w:val="restart"/>
            <w:vAlign w:val="center"/>
          </w:tcPr>
          <w:p>
            <w:pPr>
              <w:jc w:val="center"/>
              <w:rPr>
                <w:sz w:val="21"/>
                <w:szCs w:val="21"/>
              </w:rPr>
            </w:pPr>
            <w:r>
              <w:rPr>
                <w:rFonts w:hAnsi="宋体"/>
                <w:sz w:val="21"/>
                <w:szCs w:val="21"/>
              </w:rPr>
              <w:t>接地措施</w:t>
            </w:r>
          </w:p>
        </w:tc>
        <w:tc>
          <w:tcPr>
            <w:tcW w:w="1958"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1018" w:type="dxa"/>
            <w:vAlign w:val="center"/>
          </w:tcPr>
          <w:p>
            <w:pPr>
              <w:jc w:val="center"/>
              <w:rPr>
                <w:sz w:val="21"/>
                <w:szCs w:val="21"/>
              </w:rPr>
            </w:pPr>
            <w:r>
              <w:rPr>
                <w:rFonts w:hAnsi="宋体"/>
                <w:sz w:val="21"/>
                <w:szCs w:val="21"/>
              </w:rPr>
              <w:t>强制性</w:t>
            </w:r>
          </w:p>
        </w:tc>
        <w:tc>
          <w:tcPr>
            <w:tcW w:w="1843"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942" w:type="dxa"/>
            <w:vMerge w:val="restart"/>
            <w:vAlign w:val="center"/>
          </w:tcPr>
          <w:p>
            <w:pPr>
              <w:snapToGrid w:val="0"/>
              <w:jc w:val="center"/>
              <w:rPr>
                <w:sz w:val="21"/>
                <w:szCs w:val="21"/>
              </w:rPr>
            </w:pPr>
            <w:r>
              <w:rPr>
                <w:sz w:val="21"/>
                <w:szCs w:val="21"/>
              </w:rPr>
              <w:t>●</w:t>
            </w:r>
          </w:p>
        </w:tc>
        <w:tc>
          <w:tcPr>
            <w:tcW w:w="716" w:type="dxa"/>
            <w:vMerge w:val="restart"/>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jc w:val="center"/>
        </w:trPr>
        <w:tc>
          <w:tcPr>
            <w:tcW w:w="515" w:type="dxa"/>
            <w:vMerge w:val="continue"/>
            <w:vAlign w:val="center"/>
          </w:tcPr>
          <w:p>
            <w:pPr>
              <w:numPr>
                <w:ilvl w:val="0"/>
                <w:numId w:val="1"/>
              </w:numPr>
              <w:jc w:val="center"/>
              <w:rPr>
                <w:sz w:val="21"/>
                <w:szCs w:val="21"/>
              </w:rPr>
            </w:pPr>
          </w:p>
        </w:tc>
        <w:tc>
          <w:tcPr>
            <w:tcW w:w="1713" w:type="dxa"/>
            <w:vMerge w:val="continue"/>
            <w:vAlign w:val="center"/>
          </w:tcPr>
          <w:p>
            <w:pPr>
              <w:jc w:val="center"/>
              <w:rPr>
                <w:rFonts w:hAnsi="宋体"/>
                <w:sz w:val="21"/>
                <w:szCs w:val="21"/>
              </w:rPr>
            </w:pPr>
          </w:p>
        </w:tc>
        <w:tc>
          <w:tcPr>
            <w:tcW w:w="1958" w:type="dxa"/>
            <w:vAlign w:val="center"/>
          </w:tcPr>
          <w:p>
            <w:pPr>
              <w:jc w:val="center"/>
              <w:rPr>
                <w:sz w:val="21"/>
                <w:szCs w:val="21"/>
              </w:rPr>
            </w:pPr>
            <w:r>
              <w:rPr>
                <w:sz w:val="21"/>
                <w:szCs w:val="21"/>
              </w:rPr>
              <w:t>SB/T 10424</w:t>
            </w:r>
          </w:p>
        </w:tc>
        <w:tc>
          <w:tcPr>
            <w:tcW w:w="1018" w:type="dxa"/>
            <w:vAlign w:val="center"/>
          </w:tcPr>
          <w:p>
            <w:pPr>
              <w:jc w:val="center"/>
              <w:rPr>
                <w:rFonts w:hAnsi="宋体"/>
                <w:sz w:val="21"/>
                <w:szCs w:val="21"/>
              </w:rPr>
            </w:pPr>
            <w:r>
              <w:rPr>
                <w:rFonts w:hAnsi="宋体"/>
                <w:sz w:val="21"/>
                <w:szCs w:val="21"/>
              </w:rPr>
              <w:t>推荐性</w:t>
            </w:r>
          </w:p>
        </w:tc>
        <w:tc>
          <w:tcPr>
            <w:tcW w:w="1843" w:type="dxa"/>
            <w:vAlign w:val="center"/>
          </w:tcPr>
          <w:p>
            <w:pPr>
              <w:jc w:val="center"/>
              <w:rPr>
                <w:sz w:val="21"/>
                <w:szCs w:val="21"/>
              </w:rPr>
            </w:pPr>
            <w:r>
              <w:rPr>
                <w:sz w:val="21"/>
                <w:szCs w:val="21"/>
              </w:rPr>
              <w:t>SB/T 10424</w:t>
            </w:r>
          </w:p>
        </w:tc>
        <w:tc>
          <w:tcPr>
            <w:tcW w:w="942" w:type="dxa"/>
            <w:vMerge w:val="continue"/>
            <w:vAlign w:val="center"/>
          </w:tcPr>
          <w:p>
            <w:pPr>
              <w:snapToGrid w:val="0"/>
              <w:jc w:val="center"/>
              <w:rPr>
                <w:sz w:val="21"/>
                <w:szCs w:val="21"/>
              </w:rPr>
            </w:pPr>
          </w:p>
        </w:tc>
        <w:tc>
          <w:tcPr>
            <w:tcW w:w="716" w:type="dxa"/>
            <w:vMerge w:val="continue"/>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515" w:type="dxa"/>
            <w:vMerge w:val="restart"/>
            <w:vAlign w:val="center"/>
          </w:tcPr>
          <w:p>
            <w:pPr>
              <w:numPr>
                <w:ilvl w:val="0"/>
                <w:numId w:val="1"/>
              </w:numPr>
              <w:jc w:val="center"/>
              <w:rPr>
                <w:sz w:val="21"/>
                <w:szCs w:val="21"/>
              </w:rPr>
            </w:pPr>
          </w:p>
        </w:tc>
        <w:tc>
          <w:tcPr>
            <w:tcW w:w="1713" w:type="dxa"/>
            <w:vMerge w:val="restart"/>
            <w:vAlign w:val="center"/>
          </w:tcPr>
          <w:p>
            <w:pPr>
              <w:jc w:val="center"/>
              <w:rPr>
                <w:sz w:val="21"/>
                <w:szCs w:val="21"/>
              </w:rPr>
            </w:pPr>
            <w:r>
              <w:rPr>
                <w:rFonts w:hAnsi="宋体"/>
                <w:sz w:val="21"/>
                <w:szCs w:val="21"/>
              </w:rPr>
              <w:t>螺钉和连接</w:t>
            </w:r>
          </w:p>
        </w:tc>
        <w:tc>
          <w:tcPr>
            <w:tcW w:w="1958"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1018" w:type="dxa"/>
            <w:vAlign w:val="center"/>
          </w:tcPr>
          <w:p>
            <w:pPr>
              <w:jc w:val="center"/>
              <w:rPr>
                <w:sz w:val="21"/>
                <w:szCs w:val="21"/>
              </w:rPr>
            </w:pPr>
            <w:r>
              <w:rPr>
                <w:rFonts w:hAnsi="宋体"/>
                <w:sz w:val="21"/>
                <w:szCs w:val="21"/>
              </w:rPr>
              <w:t>强制性</w:t>
            </w:r>
          </w:p>
        </w:tc>
        <w:tc>
          <w:tcPr>
            <w:tcW w:w="1843" w:type="dxa"/>
            <w:vAlign w:val="center"/>
          </w:tcPr>
          <w:p>
            <w:pPr>
              <w:jc w:val="center"/>
              <w:rPr>
                <w:sz w:val="21"/>
                <w:szCs w:val="21"/>
              </w:rPr>
            </w:pPr>
            <w:r>
              <w:rPr>
                <w:sz w:val="21"/>
                <w:szCs w:val="21"/>
              </w:rPr>
              <w:t>GB 4706.1</w:t>
            </w:r>
          </w:p>
        </w:tc>
        <w:tc>
          <w:tcPr>
            <w:tcW w:w="942" w:type="dxa"/>
            <w:vMerge w:val="restart"/>
            <w:vAlign w:val="center"/>
          </w:tcPr>
          <w:p>
            <w:pPr>
              <w:snapToGrid w:val="0"/>
              <w:jc w:val="center"/>
              <w:rPr>
                <w:sz w:val="21"/>
                <w:szCs w:val="21"/>
              </w:rPr>
            </w:pPr>
            <w:r>
              <w:rPr>
                <w:sz w:val="21"/>
                <w:szCs w:val="21"/>
              </w:rPr>
              <w:t>●</w:t>
            </w:r>
          </w:p>
        </w:tc>
        <w:tc>
          <w:tcPr>
            <w:tcW w:w="716" w:type="dxa"/>
            <w:vMerge w:val="restart"/>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15" w:type="dxa"/>
            <w:vMerge w:val="continue"/>
            <w:vAlign w:val="center"/>
          </w:tcPr>
          <w:p>
            <w:pPr>
              <w:numPr>
                <w:ilvl w:val="0"/>
                <w:numId w:val="1"/>
              </w:numPr>
              <w:jc w:val="center"/>
              <w:rPr>
                <w:sz w:val="21"/>
                <w:szCs w:val="21"/>
              </w:rPr>
            </w:pPr>
          </w:p>
        </w:tc>
        <w:tc>
          <w:tcPr>
            <w:tcW w:w="1713" w:type="dxa"/>
            <w:vMerge w:val="continue"/>
            <w:vAlign w:val="center"/>
          </w:tcPr>
          <w:p>
            <w:pPr>
              <w:jc w:val="center"/>
              <w:rPr>
                <w:rFonts w:hAnsi="宋体"/>
                <w:sz w:val="21"/>
                <w:szCs w:val="21"/>
              </w:rPr>
            </w:pPr>
          </w:p>
        </w:tc>
        <w:tc>
          <w:tcPr>
            <w:tcW w:w="1958" w:type="dxa"/>
            <w:vAlign w:val="center"/>
          </w:tcPr>
          <w:p>
            <w:pPr>
              <w:jc w:val="center"/>
              <w:rPr>
                <w:sz w:val="21"/>
                <w:szCs w:val="21"/>
              </w:rPr>
            </w:pPr>
            <w:r>
              <w:rPr>
                <w:sz w:val="21"/>
                <w:szCs w:val="21"/>
              </w:rPr>
              <w:t>SB/T 10424</w:t>
            </w:r>
          </w:p>
        </w:tc>
        <w:tc>
          <w:tcPr>
            <w:tcW w:w="1018" w:type="dxa"/>
            <w:vAlign w:val="center"/>
          </w:tcPr>
          <w:p>
            <w:pPr>
              <w:jc w:val="center"/>
              <w:rPr>
                <w:rFonts w:hAnsi="宋体"/>
                <w:sz w:val="21"/>
                <w:szCs w:val="21"/>
              </w:rPr>
            </w:pPr>
            <w:r>
              <w:rPr>
                <w:rFonts w:hAnsi="宋体"/>
                <w:sz w:val="21"/>
                <w:szCs w:val="21"/>
              </w:rPr>
              <w:t>推荐性</w:t>
            </w:r>
          </w:p>
        </w:tc>
        <w:tc>
          <w:tcPr>
            <w:tcW w:w="1843" w:type="dxa"/>
            <w:vAlign w:val="center"/>
          </w:tcPr>
          <w:p>
            <w:pPr>
              <w:jc w:val="center"/>
              <w:rPr>
                <w:sz w:val="21"/>
                <w:szCs w:val="21"/>
              </w:rPr>
            </w:pPr>
            <w:r>
              <w:rPr>
                <w:sz w:val="21"/>
                <w:szCs w:val="21"/>
              </w:rPr>
              <w:t>SB/T 10424</w:t>
            </w:r>
          </w:p>
        </w:tc>
        <w:tc>
          <w:tcPr>
            <w:tcW w:w="942" w:type="dxa"/>
            <w:vMerge w:val="continue"/>
            <w:vAlign w:val="center"/>
          </w:tcPr>
          <w:p>
            <w:pPr>
              <w:snapToGrid w:val="0"/>
              <w:jc w:val="center"/>
              <w:rPr>
                <w:sz w:val="21"/>
                <w:szCs w:val="21"/>
              </w:rPr>
            </w:pPr>
          </w:p>
        </w:tc>
        <w:tc>
          <w:tcPr>
            <w:tcW w:w="716" w:type="dxa"/>
            <w:vMerge w:val="continue"/>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515" w:type="dxa"/>
            <w:vMerge w:val="restart"/>
            <w:vAlign w:val="center"/>
          </w:tcPr>
          <w:p>
            <w:pPr>
              <w:numPr>
                <w:ilvl w:val="0"/>
                <w:numId w:val="1"/>
              </w:numPr>
              <w:jc w:val="center"/>
              <w:rPr>
                <w:sz w:val="21"/>
                <w:szCs w:val="21"/>
              </w:rPr>
            </w:pPr>
          </w:p>
        </w:tc>
        <w:tc>
          <w:tcPr>
            <w:tcW w:w="1713" w:type="dxa"/>
            <w:vMerge w:val="restart"/>
            <w:vAlign w:val="center"/>
          </w:tcPr>
          <w:p>
            <w:pPr>
              <w:jc w:val="center"/>
              <w:rPr>
                <w:sz w:val="21"/>
                <w:szCs w:val="21"/>
              </w:rPr>
            </w:pPr>
            <w:r>
              <w:rPr>
                <w:rFonts w:hAnsi="宋体"/>
                <w:sz w:val="21"/>
                <w:szCs w:val="21"/>
              </w:rPr>
              <w:t>爬电距离、电气间隙和穿通绝缘距离</w:t>
            </w:r>
          </w:p>
        </w:tc>
        <w:tc>
          <w:tcPr>
            <w:tcW w:w="1958"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1018" w:type="dxa"/>
            <w:vAlign w:val="center"/>
          </w:tcPr>
          <w:p>
            <w:pPr>
              <w:jc w:val="center"/>
              <w:rPr>
                <w:sz w:val="21"/>
                <w:szCs w:val="21"/>
              </w:rPr>
            </w:pPr>
            <w:r>
              <w:rPr>
                <w:rFonts w:hAnsi="宋体"/>
                <w:sz w:val="21"/>
                <w:szCs w:val="21"/>
              </w:rPr>
              <w:t>强制性</w:t>
            </w:r>
          </w:p>
        </w:tc>
        <w:tc>
          <w:tcPr>
            <w:tcW w:w="1843" w:type="dxa"/>
            <w:vAlign w:val="center"/>
          </w:tcPr>
          <w:p>
            <w:pPr>
              <w:jc w:val="center"/>
              <w:rPr>
                <w:sz w:val="21"/>
                <w:szCs w:val="21"/>
              </w:rPr>
            </w:pPr>
            <w:r>
              <w:rPr>
                <w:sz w:val="21"/>
                <w:szCs w:val="21"/>
              </w:rPr>
              <w:t>GB 4706.1</w:t>
            </w:r>
          </w:p>
          <w:p>
            <w:pPr>
              <w:jc w:val="center"/>
              <w:rPr>
                <w:sz w:val="21"/>
                <w:szCs w:val="21"/>
              </w:rPr>
            </w:pPr>
            <w:r>
              <w:rPr>
                <w:sz w:val="21"/>
                <w:szCs w:val="21"/>
              </w:rPr>
              <w:t>GB 4706.13</w:t>
            </w:r>
          </w:p>
        </w:tc>
        <w:tc>
          <w:tcPr>
            <w:tcW w:w="942" w:type="dxa"/>
            <w:vMerge w:val="restart"/>
            <w:vAlign w:val="center"/>
          </w:tcPr>
          <w:p>
            <w:pPr>
              <w:snapToGrid w:val="0"/>
              <w:jc w:val="center"/>
              <w:rPr>
                <w:sz w:val="21"/>
                <w:szCs w:val="21"/>
              </w:rPr>
            </w:pPr>
            <w:r>
              <w:rPr>
                <w:sz w:val="21"/>
                <w:szCs w:val="21"/>
              </w:rPr>
              <w:t>●</w:t>
            </w:r>
          </w:p>
        </w:tc>
        <w:tc>
          <w:tcPr>
            <w:tcW w:w="716" w:type="dxa"/>
            <w:vMerge w:val="restart"/>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515" w:type="dxa"/>
            <w:vMerge w:val="continue"/>
            <w:vAlign w:val="center"/>
          </w:tcPr>
          <w:p>
            <w:pPr>
              <w:numPr>
                <w:ilvl w:val="0"/>
                <w:numId w:val="1"/>
              </w:numPr>
              <w:jc w:val="center"/>
              <w:rPr>
                <w:sz w:val="21"/>
                <w:szCs w:val="21"/>
              </w:rPr>
            </w:pPr>
          </w:p>
        </w:tc>
        <w:tc>
          <w:tcPr>
            <w:tcW w:w="1713" w:type="dxa"/>
            <w:vMerge w:val="continue"/>
            <w:vAlign w:val="center"/>
          </w:tcPr>
          <w:p>
            <w:pPr>
              <w:jc w:val="center"/>
              <w:rPr>
                <w:rFonts w:hAnsi="宋体"/>
                <w:sz w:val="21"/>
                <w:szCs w:val="21"/>
              </w:rPr>
            </w:pPr>
          </w:p>
        </w:tc>
        <w:tc>
          <w:tcPr>
            <w:tcW w:w="1958" w:type="dxa"/>
            <w:vAlign w:val="center"/>
          </w:tcPr>
          <w:p>
            <w:pPr>
              <w:jc w:val="center"/>
              <w:rPr>
                <w:sz w:val="21"/>
                <w:szCs w:val="21"/>
              </w:rPr>
            </w:pPr>
            <w:r>
              <w:rPr>
                <w:sz w:val="21"/>
                <w:szCs w:val="21"/>
              </w:rPr>
              <w:t>SB/T 10424</w:t>
            </w:r>
          </w:p>
        </w:tc>
        <w:tc>
          <w:tcPr>
            <w:tcW w:w="1018" w:type="dxa"/>
            <w:vAlign w:val="center"/>
          </w:tcPr>
          <w:p>
            <w:pPr>
              <w:jc w:val="center"/>
              <w:rPr>
                <w:rFonts w:hAnsi="宋体"/>
                <w:sz w:val="21"/>
                <w:szCs w:val="21"/>
              </w:rPr>
            </w:pPr>
            <w:r>
              <w:rPr>
                <w:rFonts w:hAnsi="宋体"/>
                <w:sz w:val="21"/>
                <w:szCs w:val="21"/>
              </w:rPr>
              <w:t>推荐性</w:t>
            </w:r>
          </w:p>
        </w:tc>
        <w:tc>
          <w:tcPr>
            <w:tcW w:w="1843" w:type="dxa"/>
            <w:vAlign w:val="center"/>
          </w:tcPr>
          <w:p>
            <w:pPr>
              <w:jc w:val="center"/>
              <w:rPr>
                <w:sz w:val="21"/>
                <w:szCs w:val="21"/>
              </w:rPr>
            </w:pPr>
            <w:r>
              <w:rPr>
                <w:sz w:val="21"/>
                <w:szCs w:val="21"/>
              </w:rPr>
              <w:t>SB/T 10424</w:t>
            </w:r>
          </w:p>
        </w:tc>
        <w:tc>
          <w:tcPr>
            <w:tcW w:w="942" w:type="dxa"/>
            <w:vMerge w:val="continue"/>
            <w:vAlign w:val="center"/>
          </w:tcPr>
          <w:p>
            <w:pPr>
              <w:snapToGrid w:val="0"/>
              <w:jc w:val="center"/>
              <w:rPr>
                <w:sz w:val="21"/>
                <w:szCs w:val="21"/>
              </w:rPr>
            </w:pPr>
          </w:p>
        </w:tc>
        <w:tc>
          <w:tcPr>
            <w:tcW w:w="716" w:type="dxa"/>
            <w:vMerge w:val="continue"/>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5" w:type="dxa"/>
            <w:vAlign w:val="center"/>
          </w:tcPr>
          <w:p>
            <w:pPr>
              <w:numPr>
                <w:ilvl w:val="0"/>
                <w:numId w:val="1"/>
              </w:numPr>
              <w:jc w:val="center"/>
              <w:rPr>
                <w:sz w:val="21"/>
                <w:szCs w:val="21"/>
              </w:rPr>
            </w:pPr>
          </w:p>
        </w:tc>
        <w:tc>
          <w:tcPr>
            <w:tcW w:w="1713" w:type="dxa"/>
            <w:vAlign w:val="center"/>
          </w:tcPr>
          <w:p>
            <w:pPr>
              <w:jc w:val="center"/>
              <w:rPr>
                <w:sz w:val="21"/>
                <w:szCs w:val="21"/>
              </w:rPr>
            </w:pPr>
            <w:r>
              <w:rPr>
                <w:rFonts w:hAnsi="宋体"/>
                <w:sz w:val="21"/>
                <w:szCs w:val="21"/>
              </w:rPr>
              <w:t>噪声</w:t>
            </w:r>
          </w:p>
        </w:tc>
        <w:tc>
          <w:tcPr>
            <w:tcW w:w="1958" w:type="dxa"/>
            <w:vAlign w:val="center"/>
          </w:tcPr>
          <w:p>
            <w:pPr>
              <w:jc w:val="center"/>
              <w:rPr>
                <w:sz w:val="21"/>
                <w:szCs w:val="21"/>
              </w:rPr>
            </w:pPr>
            <w:r>
              <w:rPr>
                <w:sz w:val="21"/>
                <w:szCs w:val="21"/>
              </w:rPr>
              <w:t>GB 19606</w:t>
            </w:r>
            <w:r>
              <w:rPr>
                <w:rFonts w:hAnsi="宋体"/>
                <w:sz w:val="21"/>
                <w:szCs w:val="21"/>
              </w:rPr>
              <w:t>第</w:t>
            </w:r>
            <w:r>
              <w:rPr>
                <w:sz w:val="21"/>
                <w:szCs w:val="21"/>
              </w:rPr>
              <w:t>3</w:t>
            </w:r>
            <w:r>
              <w:rPr>
                <w:rFonts w:hAnsi="宋体"/>
                <w:sz w:val="21"/>
                <w:szCs w:val="21"/>
              </w:rPr>
              <w:t>章</w:t>
            </w:r>
          </w:p>
        </w:tc>
        <w:tc>
          <w:tcPr>
            <w:tcW w:w="1018" w:type="dxa"/>
            <w:vAlign w:val="center"/>
          </w:tcPr>
          <w:p>
            <w:pPr>
              <w:jc w:val="center"/>
              <w:rPr>
                <w:sz w:val="21"/>
                <w:szCs w:val="21"/>
              </w:rPr>
            </w:pPr>
            <w:r>
              <w:rPr>
                <w:rFonts w:hAnsi="宋体"/>
                <w:sz w:val="21"/>
                <w:szCs w:val="21"/>
              </w:rPr>
              <w:t>强制性</w:t>
            </w:r>
          </w:p>
        </w:tc>
        <w:tc>
          <w:tcPr>
            <w:tcW w:w="1843" w:type="dxa"/>
            <w:vAlign w:val="center"/>
          </w:tcPr>
          <w:p>
            <w:pPr>
              <w:jc w:val="center"/>
              <w:rPr>
                <w:color w:val="000000"/>
                <w:sz w:val="21"/>
                <w:szCs w:val="21"/>
              </w:rPr>
            </w:pPr>
            <w:r>
              <w:rPr>
                <w:sz w:val="21"/>
                <w:szCs w:val="21"/>
              </w:rPr>
              <w:t>GB 19606</w:t>
            </w:r>
            <w:r>
              <w:rPr>
                <w:rFonts w:hAnsi="宋体"/>
                <w:sz w:val="21"/>
                <w:szCs w:val="21"/>
              </w:rPr>
              <w:t>第</w:t>
            </w:r>
            <w:r>
              <w:rPr>
                <w:sz w:val="21"/>
                <w:szCs w:val="21"/>
              </w:rPr>
              <w:t>3</w:t>
            </w:r>
            <w:r>
              <w:rPr>
                <w:rFonts w:hAnsi="宋体"/>
                <w:sz w:val="21"/>
                <w:szCs w:val="21"/>
              </w:rPr>
              <w:t>章</w:t>
            </w:r>
          </w:p>
        </w:tc>
        <w:tc>
          <w:tcPr>
            <w:tcW w:w="942" w:type="dxa"/>
            <w:vAlign w:val="center"/>
          </w:tcPr>
          <w:p>
            <w:pPr>
              <w:snapToGrid w:val="0"/>
              <w:jc w:val="center"/>
              <w:rPr>
                <w:sz w:val="21"/>
                <w:szCs w:val="21"/>
              </w:rPr>
            </w:pPr>
          </w:p>
        </w:tc>
        <w:tc>
          <w:tcPr>
            <w:tcW w:w="716" w:type="dxa"/>
            <w:vAlign w:val="center"/>
          </w:tcPr>
          <w:p>
            <w:pPr>
              <w:snapToGrid w:val="0"/>
              <w:jc w:val="center"/>
              <w:rPr>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jc w:val="center"/>
        </w:trPr>
        <w:tc>
          <w:tcPr>
            <w:tcW w:w="515" w:type="dxa"/>
            <w:vMerge w:val="restart"/>
            <w:shd w:val="clear" w:color="auto" w:fill="auto"/>
            <w:vAlign w:val="center"/>
          </w:tcPr>
          <w:p>
            <w:pPr>
              <w:numPr>
                <w:ilvl w:val="0"/>
                <w:numId w:val="1"/>
              </w:numPr>
              <w:jc w:val="center"/>
              <w:rPr>
                <w:sz w:val="21"/>
                <w:szCs w:val="21"/>
              </w:rPr>
            </w:pPr>
          </w:p>
        </w:tc>
        <w:tc>
          <w:tcPr>
            <w:tcW w:w="1713" w:type="dxa"/>
            <w:shd w:val="clear" w:color="auto" w:fill="auto"/>
            <w:vAlign w:val="center"/>
          </w:tcPr>
          <w:p>
            <w:pPr>
              <w:jc w:val="center"/>
              <w:rPr>
                <w:sz w:val="21"/>
                <w:szCs w:val="21"/>
              </w:rPr>
            </w:pPr>
            <w:r>
              <w:rPr>
                <w:rFonts w:hAnsi="宋体"/>
                <w:sz w:val="21"/>
                <w:szCs w:val="21"/>
              </w:rPr>
              <w:t>储藏温度</w:t>
            </w:r>
          </w:p>
        </w:tc>
        <w:tc>
          <w:tcPr>
            <w:tcW w:w="1958" w:type="dxa"/>
            <w:shd w:val="clear" w:color="auto" w:fill="auto"/>
            <w:vAlign w:val="center"/>
          </w:tcPr>
          <w:p>
            <w:pPr>
              <w:jc w:val="center"/>
              <w:rPr>
                <w:sz w:val="21"/>
                <w:szCs w:val="21"/>
              </w:rPr>
            </w:pPr>
            <w:r>
              <w:rPr>
                <w:sz w:val="21"/>
                <w:szCs w:val="21"/>
              </w:rPr>
              <w:t>GB/T 8059</w:t>
            </w:r>
          </w:p>
          <w:p>
            <w:pPr>
              <w:jc w:val="center"/>
              <w:rPr>
                <w:sz w:val="21"/>
                <w:szCs w:val="21"/>
              </w:rPr>
            </w:pPr>
            <w:r>
              <w:rPr>
                <w:sz w:val="21"/>
                <w:szCs w:val="21"/>
              </w:rPr>
              <w:t>JB/T 7244</w:t>
            </w:r>
          </w:p>
          <w:p>
            <w:pPr>
              <w:jc w:val="center"/>
              <w:rPr>
                <w:sz w:val="21"/>
                <w:szCs w:val="21"/>
              </w:rPr>
            </w:pPr>
          </w:p>
        </w:tc>
        <w:tc>
          <w:tcPr>
            <w:tcW w:w="1018" w:type="dxa"/>
            <w:shd w:val="clear" w:color="auto" w:fill="auto"/>
            <w:vAlign w:val="center"/>
          </w:tcPr>
          <w:p>
            <w:pPr>
              <w:jc w:val="center"/>
              <w:rPr>
                <w:sz w:val="21"/>
                <w:szCs w:val="21"/>
              </w:rPr>
            </w:pPr>
            <w:r>
              <w:rPr>
                <w:rFonts w:hAnsi="宋体"/>
                <w:sz w:val="21"/>
                <w:szCs w:val="21"/>
              </w:rPr>
              <w:t>推荐性</w:t>
            </w:r>
          </w:p>
        </w:tc>
        <w:tc>
          <w:tcPr>
            <w:tcW w:w="1843" w:type="dxa"/>
            <w:shd w:val="clear" w:color="auto" w:fill="auto"/>
            <w:vAlign w:val="center"/>
          </w:tcPr>
          <w:p>
            <w:pPr>
              <w:jc w:val="center"/>
              <w:rPr>
                <w:sz w:val="21"/>
                <w:szCs w:val="21"/>
              </w:rPr>
            </w:pPr>
            <w:r>
              <w:rPr>
                <w:sz w:val="21"/>
                <w:szCs w:val="21"/>
              </w:rPr>
              <w:t>GB/T 8059</w:t>
            </w:r>
          </w:p>
          <w:p>
            <w:pPr>
              <w:jc w:val="center"/>
              <w:rPr>
                <w:sz w:val="21"/>
                <w:szCs w:val="21"/>
              </w:rPr>
            </w:pPr>
            <w:r>
              <w:rPr>
                <w:sz w:val="21"/>
                <w:szCs w:val="21"/>
              </w:rPr>
              <w:t>JB/T 7244</w:t>
            </w:r>
          </w:p>
          <w:p>
            <w:pPr>
              <w:jc w:val="center"/>
              <w:rPr>
                <w:sz w:val="21"/>
                <w:szCs w:val="21"/>
              </w:rPr>
            </w:pPr>
          </w:p>
        </w:tc>
        <w:tc>
          <w:tcPr>
            <w:tcW w:w="942" w:type="dxa"/>
            <w:vMerge w:val="restart"/>
            <w:shd w:val="clear" w:color="auto" w:fill="auto"/>
            <w:vAlign w:val="center"/>
          </w:tcPr>
          <w:p>
            <w:pPr>
              <w:jc w:val="center"/>
              <w:rPr>
                <w:sz w:val="21"/>
                <w:szCs w:val="21"/>
              </w:rPr>
            </w:pPr>
          </w:p>
        </w:tc>
        <w:tc>
          <w:tcPr>
            <w:tcW w:w="716" w:type="dxa"/>
            <w:vMerge w:val="restart"/>
            <w:shd w:val="clear" w:color="auto" w:fill="auto"/>
            <w:vAlign w:val="center"/>
          </w:tcPr>
          <w:p>
            <w:pPr>
              <w:snapToGrid w:val="0"/>
              <w:jc w:val="center"/>
              <w:rPr>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515" w:type="dxa"/>
            <w:vMerge w:val="continue"/>
            <w:shd w:val="clear" w:color="auto" w:fill="auto"/>
            <w:vAlign w:val="center"/>
          </w:tcPr>
          <w:p>
            <w:pPr>
              <w:numPr>
                <w:ilvl w:val="0"/>
                <w:numId w:val="1"/>
              </w:numPr>
              <w:jc w:val="center"/>
              <w:rPr>
                <w:sz w:val="21"/>
                <w:szCs w:val="21"/>
              </w:rPr>
            </w:pPr>
          </w:p>
        </w:tc>
        <w:tc>
          <w:tcPr>
            <w:tcW w:w="1713" w:type="dxa"/>
            <w:shd w:val="clear" w:color="auto" w:fill="auto"/>
            <w:vAlign w:val="center"/>
          </w:tcPr>
          <w:p>
            <w:pPr>
              <w:jc w:val="center"/>
              <w:rPr>
                <w:rFonts w:hAnsi="宋体"/>
                <w:sz w:val="21"/>
                <w:szCs w:val="21"/>
              </w:rPr>
            </w:pPr>
            <w:r>
              <w:rPr>
                <w:rFonts w:hint="eastAsia" w:hAnsi="宋体"/>
                <w:sz w:val="21"/>
                <w:szCs w:val="21"/>
              </w:rPr>
              <w:t>温度</w:t>
            </w:r>
          </w:p>
        </w:tc>
        <w:tc>
          <w:tcPr>
            <w:tcW w:w="1958" w:type="dxa"/>
            <w:shd w:val="clear" w:color="auto" w:fill="auto"/>
            <w:vAlign w:val="center"/>
          </w:tcPr>
          <w:p>
            <w:pPr>
              <w:jc w:val="center"/>
              <w:rPr>
                <w:sz w:val="21"/>
                <w:szCs w:val="21"/>
              </w:rPr>
            </w:pPr>
            <w:r>
              <w:rPr>
                <w:sz w:val="21"/>
                <w:szCs w:val="21"/>
              </w:rPr>
              <w:t>GB/T 21001.2</w:t>
            </w:r>
          </w:p>
          <w:p>
            <w:pPr>
              <w:jc w:val="center"/>
              <w:rPr>
                <w:sz w:val="21"/>
                <w:szCs w:val="21"/>
              </w:rPr>
            </w:pPr>
            <w:r>
              <w:rPr>
                <w:sz w:val="21"/>
                <w:szCs w:val="21"/>
              </w:rPr>
              <w:t>GB/T 21001.3</w:t>
            </w:r>
          </w:p>
          <w:p>
            <w:pPr>
              <w:jc w:val="center"/>
              <w:rPr>
                <w:sz w:val="21"/>
                <w:szCs w:val="21"/>
              </w:rPr>
            </w:pPr>
            <w:r>
              <w:rPr>
                <w:sz w:val="21"/>
                <w:szCs w:val="21"/>
              </w:rPr>
              <w:t>SB/T 10794.2</w:t>
            </w:r>
          </w:p>
          <w:p>
            <w:pPr>
              <w:jc w:val="center"/>
              <w:rPr>
                <w:sz w:val="21"/>
                <w:szCs w:val="21"/>
              </w:rPr>
            </w:pPr>
            <w:r>
              <w:rPr>
                <w:sz w:val="21"/>
                <w:szCs w:val="21"/>
              </w:rPr>
              <w:t>SB/T 10794.3</w:t>
            </w:r>
          </w:p>
        </w:tc>
        <w:tc>
          <w:tcPr>
            <w:tcW w:w="1018" w:type="dxa"/>
            <w:shd w:val="clear" w:color="auto" w:fill="auto"/>
            <w:vAlign w:val="center"/>
          </w:tcPr>
          <w:p>
            <w:pPr>
              <w:jc w:val="center"/>
              <w:rPr>
                <w:rFonts w:hAnsi="宋体"/>
                <w:sz w:val="21"/>
                <w:szCs w:val="21"/>
              </w:rPr>
            </w:pPr>
            <w:r>
              <w:rPr>
                <w:rFonts w:hAnsi="宋体"/>
                <w:sz w:val="21"/>
                <w:szCs w:val="21"/>
              </w:rPr>
              <w:t>推荐性</w:t>
            </w:r>
          </w:p>
        </w:tc>
        <w:tc>
          <w:tcPr>
            <w:tcW w:w="1843" w:type="dxa"/>
            <w:shd w:val="clear" w:color="auto" w:fill="auto"/>
            <w:vAlign w:val="center"/>
          </w:tcPr>
          <w:p>
            <w:pPr>
              <w:jc w:val="center"/>
              <w:rPr>
                <w:sz w:val="21"/>
                <w:szCs w:val="21"/>
              </w:rPr>
            </w:pPr>
            <w:r>
              <w:rPr>
                <w:sz w:val="21"/>
                <w:szCs w:val="21"/>
              </w:rPr>
              <w:t>GB/T 21001.2</w:t>
            </w:r>
          </w:p>
          <w:p>
            <w:pPr>
              <w:jc w:val="center"/>
              <w:rPr>
                <w:sz w:val="21"/>
                <w:szCs w:val="21"/>
              </w:rPr>
            </w:pPr>
            <w:r>
              <w:rPr>
                <w:sz w:val="21"/>
                <w:szCs w:val="21"/>
              </w:rPr>
              <w:t>GB/T 21001.3</w:t>
            </w:r>
          </w:p>
          <w:p>
            <w:pPr>
              <w:jc w:val="center"/>
              <w:rPr>
                <w:sz w:val="21"/>
                <w:szCs w:val="21"/>
              </w:rPr>
            </w:pPr>
            <w:r>
              <w:rPr>
                <w:sz w:val="21"/>
                <w:szCs w:val="21"/>
              </w:rPr>
              <w:t>SB/T 10794.2</w:t>
            </w:r>
          </w:p>
          <w:p>
            <w:pPr>
              <w:jc w:val="center"/>
              <w:rPr>
                <w:sz w:val="21"/>
                <w:szCs w:val="21"/>
              </w:rPr>
            </w:pPr>
            <w:r>
              <w:rPr>
                <w:sz w:val="21"/>
                <w:szCs w:val="21"/>
              </w:rPr>
              <w:t>SB/T 10794.3</w:t>
            </w:r>
          </w:p>
        </w:tc>
        <w:tc>
          <w:tcPr>
            <w:tcW w:w="942" w:type="dxa"/>
            <w:vMerge w:val="continue"/>
            <w:shd w:val="clear" w:color="auto" w:fill="auto"/>
            <w:vAlign w:val="center"/>
          </w:tcPr>
          <w:p>
            <w:pPr>
              <w:jc w:val="center"/>
              <w:rPr>
                <w:sz w:val="21"/>
                <w:szCs w:val="21"/>
              </w:rPr>
            </w:pPr>
          </w:p>
        </w:tc>
        <w:tc>
          <w:tcPr>
            <w:tcW w:w="716" w:type="dxa"/>
            <w:vMerge w:val="continue"/>
            <w:shd w:val="clear" w:color="auto" w:fill="auto"/>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515" w:type="dxa"/>
            <w:vMerge w:val="restart"/>
            <w:shd w:val="clear" w:color="auto" w:fill="auto"/>
            <w:vAlign w:val="center"/>
          </w:tcPr>
          <w:p>
            <w:pPr>
              <w:numPr>
                <w:ilvl w:val="0"/>
                <w:numId w:val="1"/>
              </w:numPr>
              <w:jc w:val="center"/>
              <w:rPr>
                <w:sz w:val="21"/>
                <w:szCs w:val="21"/>
              </w:rPr>
            </w:pPr>
          </w:p>
        </w:tc>
        <w:tc>
          <w:tcPr>
            <w:tcW w:w="1713" w:type="dxa"/>
            <w:shd w:val="clear" w:color="auto" w:fill="auto"/>
            <w:vAlign w:val="center"/>
          </w:tcPr>
          <w:p>
            <w:pPr>
              <w:jc w:val="center"/>
              <w:rPr>
                <w:sz w:val="21"/>
                <w:szCs w:val="21"/>
              </w:rPr>
            </w:pPr>
            <w:r>
              <w:rPr>
                <w:rFonts w:hAnsi="宋体"/>
                <w:sz w:val="21"/>
                <w:szCs w:val="21"/>
              </w:rPr>
              <w:t>总有效容积</w:t>
            </w:r>
          </w:p>
        </w:tc>
        <w:tc>
          <w:tcPr>
            <w:tcW w:w="1958" w:type="dxa"/>
            <w:shd w:val="clear" w:color="auto" w:fill="auto"/>
            <w:vAlign w:val="center"/>
          </w:tcPr>
          <w:p>
            <w:pPr>
              <w:jc w:val="center"/>
              <w:rPr>
                <w:sz w:val="21"/>
                <w:szCs w:val="21"/>
              </w:rPr>
            </w:pPr>
            <w:r>
              <w:rPr>
                <w:sz w:val="21"/>
                <w:szCs w:val="21"/>
              </w:rPr>
              <w:t>GB/T 8059</w:t>
            </w:r>
          </w:p>
        </w:tc>
        <w:tc>
          <w:tcPr>
            <w:tcW w:w="1018" w:type="dxa"/>
            <w:shd w:val="clear" w:color="auto" w:fill="auto"/>
            <w:vAlign w:val="center"/>
          </w:tcPr>
          <w:p>
            <w:pPr>
              <w:jc w:val="center"/>
              <w:rPr>
                <w:sz w:val="21"/>
                <w:szCs w:val="21"/>
              </w:rPr>
            </w:pPr>
            <w:r>
              <w:rPr>
                <w:rFonts w:hAnsi="宋体"/>
                <w:sz w:val="21"/>
                <w:szCs w:val="21"/>
              </w:rPr>
              <w:t>推荐性</w:t>
            </w:r>
          </w:p>
        </w:tc>
        <w:tc>
          <w:tcPr>
            <w:tcW w:w="1843" w:type="dxa"/>
            <w:shd w:val="clear" w:color="auto" w:fill="auto"/>
            <w:vAlign w:val="center"/>
          </w:tcPr>
          <w:p>
            <w:pPr>
              <w:jc w:val="center"/>
              <w:rPr>
                <w:sz w:val="21"/>
                <w:szCs w:val="21"/>
              </w:rPr>
            </w:pPr>
            <w:r>
              <w:rPr>
                <w:sz w:val="21"/>
                <w:szCs w:val="21"/>
              </w:rPr>
              <w:t>GB/T 8059</w:t>
            </w:r>
          </w:p>
        </w:tc>
        <w:tc>
          <w:tcPr>
            <w:tcW w:w="942" w:type="dxa"/>
            <w:vMerge w:val="restart"/>
            <w:shd w:val="clear" w:color="auto" w:fill="auto"/>
            <w:vAlign w:val="center"/>
          </w:tcPr>
          <w:p>
            <w:pPr>
              <w:jc w:val="center"/>
              <w:rPr>
                <w:sz w:val="21"/>
                <w:szCs w:val="21"/>
              </w:rPr>
            </w:pPr>
          </w:p>
        </w:tc>
        <w:tc>
          <w:tcPr>
            <w:tcW w:w="716" w:type="dxa"/>
            <w:vMerge w:val="restart"/>
            <w:shd w:val="clear" w:color="auto" w:fill="auto"/>
            <w:vAlign w:val="center"/>
          </w:tcPr>
          <w:p>
            <w:pPr>
              <w:snapToGrid w:val="0"/>
              <w:jc w:val="center"/>
              <w:rPr>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515" w:type="dxa"/>
            <w:vMerge w:val="continue"/>
            <w:shd w:val="clear" w:color="auto" w:fill="auto"/>
            <w:vAlign w:val="center"/>
          </w:tcPr>
          <w:p>
            <w:pPr>
              <w:numPr>
                <w:ilvl w:val="0"/>
                <w:numId w:val="1"/>
              </w:numPr>
              <w:jc w:val="center"/>
              <w:rPr>
                <w:sz w:val="21"/>
                <w:szCs w:val="21"/>
              </w:rPr>
            </w:pPr>
          </w:p>
        </w:tc>
        <w:tc>
          <w:tcPr>
            <w:tcW w:w="1713" w:type="dxa"/>
            <w:shd w:val="clear" w:color="auto" w:fill="auto"/>
            <w:vAlign w:val="center"/>
          </w:tcPr>
          <w:p>
            <w:pPr>
              <w:jc w:val="center"/>
              <w:rPr>
                <w:rFonts w:hAnsi="宋体"/>
                <w:sz w:val="21"/>
                <w:szCs w:val="21"/>
              </w:rPr>
            </w:pPr>
            <w:r>
              <w:rPr>
                <w:rFonts w:hAnsi="宋体"/>
                <w:sz w:val="21"/>
                <w:szCs w:val="21"/>
              </w:rPr>
              <w:t>有效容积</w:t>
            </w:r>
          </w:p>
        </w:tc>
        <w:tc>
          <w:tcPr>
            <w:tcW w:w="1958" w:type="dxa"/>
            <w:shd w:val="clear" w:color="auto" w:fill="auto"/>
            <w:vAlign w:val="center"/>
          </w:tcPr>
          <w:p>
            <w:pPr>
              <w:jc w:val="center"/>
              <w:rPr>
                <w:sz w:val="21"/>
                <w:szCs w:val="21"/>
              </w:rPr>
            </w:pPr>
            <w:r>
              <w:rPr>
                <w:sz w:val="21"/>
                <w:szCs w:val="21"/>
              </w:rPr>
              <w:t>SB/T 10794.2</w:t>
            </w:r>
          </w:p>
          <w:p>
            <w:pPr>
              <w:jc w:val="center"/>
              <w:rPr>
                <w:sz w:val="21"/>
                <w:szCs w:val="21"/>
              </w:rPr>
            </w:pPr>
            <w:r>
              <w:rPr>
                <w:sz w:val="21"/>
                <w:szCs w:val="21"/>
              </w:rPr>
              <w:t>SB/T 10794.3</w:t>
            </w:r>
          </w:p>
          <w:p>
            <w:pPr>
              <w:jc w:val="center"/>
              <w:rPr>
                <w:sz w:val="21"/>
                <w:szCs w:val="21"/>
              </w:rPr>
            </w:pPr>
          </w:p>
        </w:tc>
        <w:tc>
          <w:tcPr>
            <w:tcW w:w="1018" w:type="dxa"/>
            <w:shd w:val="clear" w:color="auto" w:fill="auto"/>
            <w:vAlign w:val="center"/>
          </w:tcPr>
          <w:p>
            <w:pPr>
              <w:jc w:val="center"/>
              <w:rPr>
                <w:rFonts w:hAnsi="宋体"/>
                <w:sz w:val="21"/>
                <w:szCs w:val="21"/>
              </w:rPr>
            </w:pPr>
            <w:r>
              <w:rPr>
                <w:rFonts w:hAnsi="宋体"/>
                <w:sz w:val="21"/>
                <w:szCs w:val="21"/>
              </w:rPr>
              <w:t>推荐性</w:t>
            </w:r>
          </w:p>
        </w:tc>
        <w:tc>
          <w:tcPr>
            <w:tcW w:w="1843" w:type="dxa"/>
            <w:shd w:val="clear" w:color="auto" w:fill="auto"/>
            <w:vAlign w:val="center"/>
          </w:tcPr>
          <w:p>
            <w:pPr>
              <w:jc w:val="center"/>
              <w:rPr>
                <w:sz w:val="21"/>
                <w:szCs w:val="21"/>
              </w:rPr>
            </w:pPr>
            <w:r>
              <w:rPr>
                <w:sz w:val="21"/>
                <w:szCs w:val="21"/>
              </w:rPr>
              <w:t>SB/T 10794.2</w:t>
            </w:r>
          </w:p>
          <w:p>
            <w:pPr>
              <w:jc w:val="center"/>
              <w:rPr>
                <w:sz w:val="21"/>
                <w:szCs w:val="21"/>
              </w:rPr>
            </w:pPr>
            <w:r>
              <w:rPr>
                <w:sz w:val="21"/>
                <w:szCs w:val="21"/>
              </w:rPr>
              <w:t>SB/T 10794.3</w:t>
            </w:r>
          </w:p>
          <w:p>
            <w:pPr>
              <w:jc w:val="center"/>
              <w:rPr>
                <w:sz w:val="21"/>
                <w:szCs w:val="21"/>
              </w:rPr>
            </w:pPr>
          </w:p>
        </w:tc>
        <w:tc>
          <w:tcPr>
            <w:tcW w:w="942" w:type="dxa"/>
            <w:vMerge w:val="continue"/>
            <w:shd w:val="clear" w:color="auto" w:fill="auto"/>
            <w:vAlign w:val="center"/>
          </w:tcPr>
          <w:p>
            <w:pPr>
              <w:jc w:val="center"/>
              <w:rPr>
                <w:sz w:val="21"/>
                <w:szCs w:val="21"/>
              </w:rPr>
            </w:pPr>
          </w:p>
        </w:tc>
        <w:tc>
          <w:tcPr>
            <w:tcW w:w="716" w:type="dxa"/>
            <w:vMerge w:val="continue"/>
            <w:shd w:val="clear" w:color="auto" w:fill="auto"/>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jc w:val="center"/>
        </w:trPr>
        <w:tc>
          <w:tcPr>
            <w:tcW w:w="515" w:type="dxa"/>
            <w:vMerge w:val="continue"/>
            <w:shd w:val="clear" w:color="auto" w:fill="auto"/>
            <w:vAlign w:val="center"/>
          </w:tcPr>
          <w:p>
            <w:pPr>
              <w:numPr>
                <w:ilvl w:val="0"/>
                <w:numId w:val="1"/>
              </w:numPr>
              <w:jc w:val="center"/>
              <w:rPr>
                <w:sz w:val="21"/>
                <w:szCs w:val="21"/>
              </w:rPr>
            </w:pPr>
          </w:p>
        </w:tc>
        <w:tc>
          <w:tcPr>
            <w:tcW w:w="1713" w:type="dxa"/>
            <w:shd w:val="clear" w:color="auto" w:fill="auto"/>
            <w:vAlign w:val="center"/>
          </w:tcPr>
          <w:p>
            <w:pPr>
              <w:jc w:val="center"/>
              <w:rPr>
                <w:rFonts w:hAnsi="宋体"/>
                <w:sz w:val="21"/>
                <w:szCs w:val="21"/>
              </w:rPr>
            </w:pPr>
            <w:r>
              <w:rPr>
                <w:rFonts w:hint="eastAsia" w:hAnsi="宋体"/>
                <w:sz w:val="21"/>
                <w:szCs w:val="21"/>
              </w:rPr>
              <w:t>净容积</w:t>
            </w:r>
          </w:p>
        </w:tc>
        <w:tc>
          <w:tcPr>
            <w:tcW w:w="1958" w:type="dxa"/>
            <w:shd w:val="clear" w:color="auto" w:fill="auto"/>
            <w:vAlign w:val="center"/>
          </w:tcPr>
          <w:p>
            <w:pPr>
              <w:jc w:val="center"/>
              <w:rPr>
                <w:sz w:val="21"/>
                <w:szCs w:val="21"/>
              </w:rPr>
            </w:pPr>
            <w:r>
              <w:rPr>
                <w:sz w:val="21"/>
                <w:szCs w:val="21"/>
              </w:rPr>
              <w:t>GB/T 21001.2</w:t>
            </w:r>
          </w:p>
          <w:p>
            <w:pPr>
              <w:jc w:val="center"/>
              <w:rPr>
                <w:sz w:val="21"/>
                <w:szCs w:val="21"/>
              </w:rPr>
            </w:pPr>
            <w:r>
              <w:rPr>
                <w:sz w:val="21"/>
                <w:szCs w:val="21"/>
              </w:rPr>
              <w:t>GB/T 21001.3</w:t>
            </w:r>
          </w:p>
        </w:tc>
        <w:tc>
          <w:tcPr>
            <w:tcW w:w="1018" w:type="dxa"/>
            <w:shd w:val="clear" w:color="auto" w:fill="auto"/>
            <w:vAlign w:val="center"/>
          </w:tcPr>
          <w:p>
            <w:pPr>
              <w:jc w:val="center"/>
              <w:rPr>
                <w:rFonts w:hAnsi="宋体"/>
                <w:sz w:val="21"/>
                <w:szCs w:val="21"/>
              </w:rPr>
            </w:pPr>
            <w:r>
              <w:rPr>
                <w:rFonts w:hAnsi="宋体"/>
                <w:sz w:val="21"/>
                <w:szCs w:val="21"/>
              </w:rPr>
              <w:t>推荐性</w:t>
            </w:r>
          </w:p>
        </w:tc>
        <w:tc>
          <w:tcPr>
            <w:tcW w:w="1843" w:type="dxa"/>
            <w:shd w:val="clear" w:color="auto" w:fill="auto"/>
            <w:vAlign w:val="center"/>
          </w:tcPr>
          <w:p>
            <w:pPr>
              <w:jc w:val="center"/>
              <w:rPr>
                <w:sz w:val="21"/>
                <w:szCs w:val="21"/>
              </w:rPr>
            </w:pPr>
            <w:r>
              <w:rPr>
                <w:sz w:val="21"/>
                <w:szCs w:val="21"/>
              </w:rPr>
              <w:t>GB/T 21001.2</w:t>
            </w:r>
          </w:p>
          <w:p>
            <w:pPr>
              <w:jc w:val="center"/>
              <w:rPr>
                <w:sz w:val="21"/>
                <w:szCs w:val="21"/>
              </w:rPr>
            </w:pPr>
            <w:r>
              <w:rPr>
                <w:sz w:val="21"/>
                <w:szCs w:val="21"/>
              </w:rPr>
              <w:t>GB/T 21001.3</w:t>
            </w:r>
          </w:p>
        </w:tc>
        <w:tc>
          <w:tcPr>
            <w:tcW w:w="942" w:type="dxa"/>
            <w:vMerge w:val="continue"/>
            <w:shd w:val="clear" w:color="auto" w:fill="auto"/>
            <w:vAlign w:val="center"/>
          </w:tcPr>
          <w:p>
            <w:pPr>
              <w:jc w:val="center"/>
              <w:rPr>
                <w:sz w:val="21"/>
                <w:szCs w:val="21"/>
              </w:rPr>
            </w:pPr>
          </w:p>
        </w:tc>
        <w:tc>
          <w:tcPr>
            <w:tcW w:w="716" w:type="dxa"/>
            <w:vMerge w:val="continue"/>
            <w:shd w:val="clear" w:color="auto" w:fill="auto"/>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5" w:hRule="atLeast"/>
          <w:jc w:val="center"/>
        </w:trPr>
        <w:tc>
          <w:tcPr>
            <w:tcW w:w="515" w:type="dxa"/>
            <w:vMerge w:val="restart"/>
            <w:shd w:val="clear" w:color="auto" w:fill="auto"/>
            <w:vAlign w:val="center"/>
          </w:tcPr>
          <w:p>
            <w:pPr>
              <w:numPr>
                <w:ilvl w:val="0"/>
                <w:numId w:val="1"/>
              </w:numPr>
              <w:jc w:val="center"/>
              <w:rPr>
                <w:sz w:val="21"/>
                <w:szCs w:val="21"/>
              </w:rPr>
            </w:pPr>
          </w:p>
        </w:tc>
        <w:tc>
          <w:tcPr>
            <w:tcW w:w="1713" w:type="dxa"/>
            <w:shd w:val="clear" w:color="auto" w:fill="auto"/>
            <w:vAlign w:val="center"/>
          </w:tcPr>
          <w:p>
            <w:pPr>
              <w:jc w:val="center"/>
              <w:rPr>
                <w:sz w:val="21"/>
                <w:szCs w:val="21"/>
              </w:rPr>
            </w:pPr>
            <w:r>
              <w:rPr>
                <w:rFonts w:hAnsi="宋体"/>
                <w:sz w:val="21"/>
                <w:szCs w:val="21"/>
              </w:rPr>
              <w:t>耗电量</w:t>
            </w:r>
          </w:p>
        </w:tc>
        <w:tc>
          <w:tcPr>
            <w:tcW w:w="1958" w:type="dxa"/>
            <w:shd w:val="clear" w:color="auto" w:fill="auto"/>
            <w:vAlign w:val="center"/>
          </w:tcPr>
          <w:p>
            <w:pPr>
              <w:jc w:val="center"/>
              <w:rPr>
                <w:sz w:val="21"/>
                <w:szCs w:val="21"/>
              </w:rPr>
            </w:pPr>
            <w:r>
              <w:rPr>
                <w:sz w:val="21"/>
                <w:szCs w:val="21"/>
              </w:rPr>
              <w:t>GB/T 8059</w:t>
            </w:r>
          </w:p>
          <w:p>
            <w:pPr>
              <w:jc w:val="center"/>
              <w:rPr>
                <w:rFonts w:hAnsi="宋体"/>
                <w:sz w:val="21"/>
                <w:szCs w:val="21"/>
              </w:rPr>
            </w:pPr>
            <w:r>
              <w:rPr>
                <w:rFonts w:hAnsi="宋体"/>
                <w:sz w:val="21"/>
                <w:szCs w:val="21"/>
              </w:rPr>
              <w:t>第</w:t>
            </w:r>
            <w:r>
              <w:rPr>
                <w:sz w:val="21"/>
                <w:szCs w:val="21"/>
              </w:rPr>
              <w:t>16</w:t>
            </w:r>
            <w:r>
              <w:rPr>
                <w:rFonts w:hAnsi="宋体"/>
                <w:sz w:val="21"/>
                <w:szCs w:val="21"/>
              </w:rPr>
              <w:t>章</w:t>
            </w:r>
          </w:p>
          <w:p>
            <w:pPr>
              <w:jc w:val="center"/>
              <w:rPr>
                <w:sz w:val="21"/>
                <w:szCs w:val="21"/>
              </w:rPr>
            </w:pPr>
          </w:p>
        </w:tc>
        <w:tc>
          <w:tcPr>
            <w:tcW w:w="1018" w:type="dxa"/>
            <w:shd w:val="clear" w:color="auto" w:fill="auto"/>
            <w:vAlign w:val="center"/>
          </w:tcPr>
          <w:p>
            <w:pPr>
              <w:jc w:val="center"/>
              <w:rPr>
                <w:sz w:val="21"/>
                <w:szCs w:val="21"/>
              </w:rPr>
            </w:pPr>
            <w:r>
              <w:rPr>
                <w:rFonts w:hAnsi="宋体"/>
                <w:sz w:val="21"/>
                <w:szCs w:val="21"/>
              </w:rPr>
              <w:t>推荐性</w:t>
            </w:r>
          </w:p>
        </w:tc>
        <w:tc>
          <w:tcPr>
            <w:tcW w:w="1843" w:type="dxa"/>
            <w:shd w:val="clear" w:color="auto" w:fill="auto"/>
            <w:vAlign w:val="center"/>
          </w:tcPr>
          <w:p>
            <w:pPr>
              <w:jc w:val="center"/>
              <w:rPr>
                <w:sz w:val="21"/>
                <w:szCs w:val="21"/>
              </w:rPr>
            </w:pPr>
            <w:r>
              <w:rPr>
                <w:sz w:val="21"/>
                <w:szCs w:val="21"/>
              </w:rPr>
              <w:t>GB/T 8059</w:t>
            </w:r>
          </w:p>
          <w:p>
            <w:pPr>
              <w:jc w:val="center"/>
              <w:rPr>
                <w:rFonts w:hAnsi="宋体"/>
                <w:sz w:val="21"/>
                <w:szCs w:val="21"/>
              </w:rPr>
            </w:pPr>
            <w:r>
              <w:rPr>
                <w:rFonts w:hAnsi="宋体"/>
                <w:sz w:val="21"/>
                <w:szCs w:val="21"/>
              </w:rPr>
              <w:t>第</w:t>
            </w:r>
            <w:r>
              <w:rPr>
                <w:sz w:val="21"/>
                <w:szCs w:val="21"/>
              </w:rPr>
              <w:t>16</w:t>
            </w:r>
            <w:r>
              <w:rPr>
                <w:rFonts w:hAnsi="宋体"/>
                <w:sz w:val="21"/>
                <w:szCs w:val="21"/>
              </w:rPr>
              <w:t>章</w:t>
            </w:r>
          </w:p>
          <w:p>
            <w:pPr>
              <w:jc w:val="center"/>
              <w:rPr>
                <w:sz w:val="21"/>
                <w:szCs w:val="21"/>
              </w:rPr>
            </w:pPr>
          </w:p>
        </w:tc>
        <w:tc>
          <w:tcPr>
            <w:tcW w:w="942" w:type="dxa"/>
            <w:vMerge w:val="restart"/>
            <w:shd w:val="clear" w:color="auto" w:fill="auto"/>
            <w:vAlign w:val="center"/>
          </w:tcPr>
          <w:p>
            <w:pPr>
              <w:jc w:val="center"/>
              <w:rPr>
                <w:sz w:val="21"/>
                <w:szCs w:val="21"/>
              </w:rPr>
            </w:pPr>
          </w:p>
        </w:tc>
        <w:tc>
          <w:tcPr>
            <w:tcW w:w="716" w:type="dxa"/>
            <w:vMerge w:val="restart"/>
            <w:shd w:val="clear" w:color="auto" w:fill="auto"/>
            <w:vAlign w:val="center"/>
          </w:tcPr>
          <w:p>
            <w:pPr>
              <w:snapToGrid w:val="0"/>
              <w:jc w:val="center"/>
              <w:rPr>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515" w:type="dxa"/>
            <w:vMerge w:val="continue"/>
            <w:shd w:val="clear" w:color="auto" w:fill="auto"/>
            <w:vAlign w:val="center"/>
          </w:tcPr>
          <w:p>
            <w:pPr>
              <w:numPr>
                <w:ilvl w:val="0"/>
                <w:numId w:val="1"/>
              </w:numPr>
              <w:jc w:val="center"/>
              <w:rPr>
                <w:sz w:val="21"/>
                <w:szCs w:val="21"/>
              </w:rPr>
            </w:pPr>
          </w:p>
        </w:tc>
        <w:tc>
          <w:tcPr>
            <w:tcW w:w="1713" w:type="dxa"/>
            <w:shd w:val="clear" w:color="auto" w:fill="auto"/>
            <w:vAlign w:val="center"/>
          </w:tcPr>
          <w:p>
            <w:pPr>
              <w:jc w:val="center"/>
              <w:rPr>
                <w:rFonts w:hAnsi="宋体"/>
                <w:sz w:val="21"/>
                <w:szCs w:val="21"/>
              </w:rPr>
            </w:pPr>
            <w:r>
              <w:rPr>
                <w:rFonts w:hint="eastAsia" w:hAnsi="宋体"/>
                <w:sz w:val="21"/>
                <w:szCs w:val="21"/>
              </w:rPr>
              <w:t>电能消耗</w:t>
            </w:r>
          </w:p>
        </w:tc>
        <w:tc>
          <w:tcPr>
            <w:tcW w:w="1958" w:type="dxa"/>
            <w:shd w:val="clear" w:color="auto" w:fill="auto"/>
            <w:vAlign w:val="center"/>
          </w:tcPr>
          <w:p>
            <w:pPr>
              <w:jc w:val="center"/>
              <w:rPr>
                <w:sz w:val="21"/>
                <w:szCs w:val="21"/>
              </w:rPr>
            </w:pPr>
            <w:r>
              <w:rPr>
                <w:sz w:val="21"/>
                <w:szCs w:val="21"/>
              </w:rPr>
              <w:t>GB/T 21001.2</w:t>
            </w:r>
          </w:p>
          <w:p>
            <w:pPr>
              <w:jc w:val="center"/>
              <w:rPr>
                <w:sz w:val="21"/>
                <w:szCs w:val="21"/>
              </w:rPr>
            </w:pPr>
            <w:r>
              <w:rPr>
                <w:sz w:val="21"/>
                <w:szCs w:val="21"/>
              </w:rPr>
              <w:t>GB/T 21001.3</w:t>
            </w:r>
          </w:p>
          <w:p>
            <w:pPr>
              <w:jc w:val="center"/>
              <w:rPr>
                <w:sz w:val="21"/>
                <w:szCs w:val="21"/>
              </w:rPr>
            </w:pPr>
            <w:r>
              <w:rPr>
                <w:sz w:val="21"/>
                <w:szCs w:val="21"/>
              </w:rPr>
              <w:t>SB/T 10794.2</w:t>
            </w:r>
          </w:p>
          <w:p>
            <w:pPr>
              <w:jc w:val="center"/>
              <w:rPr>
                <w:sz w:val="21"/>
                <w:szCs w:val="21"/>
              </w:rPr>
            </w:pPr>
            <w:r>
              <w:rPr>
                <w:sz w:val="21"/>
                <w:szCs w:val="21"/>
              </w:rPr>
              <w:t>SB/T 10794.3</w:t>
            </w:r>
          </w:p>
        </w:tc>
        <w:tc>
          <w:tcPr>
            <w:tcW w:w="1018" w:type="dxa"/>
            <w:shd w:val="clear" w:color="auto" w:fill="auto"/>
            <w:vAlign w:val="center"/>
          </w:tcPr>
          <w:p>
            <w:pPr>
              <w:jc w:val="center"/>
              <w:rPr>
                <w:rFonts w:hAnsi="宋体"/>
                <w:sz w:val="21"/>
                <w:szCs w:val="21"/>
              </w:rPr>
            </w:pPr>
            <w:r>
              <w:rPr>
                <w:rFonts w:hAnsi="宋体"/>
                <w:sz w:val="21"/>
                <w:szCs w:val="21"/>
              </w:rPr>
              <w:t>推荐性</w:t>
            </w:r>
          </w:p>
        </w:tc>
        <w:tc>
          <w:tcPr>
            <w:tcW w:w="1843" w:type="dxa"/>
            <w:shd w:val="clear" w:color="auto" w:fill="auto"/>
            <w:vAlign w:val="center"/>
          </w:tcPr>
          <w:p>
            <w:pPr>
              <w:jc w:val="center"/>
              <w:rPr>
                <w:sz w:val="21"/>
                <w:szCs w:val="21"/>
              </w:rPr>
            </w:pPr>
            <w:r>
              <w:rPr>
                <w:sz w:val="21"/>
                <w:szCs w:val="21"/>
              </w:rPr>
              <w:t>GB/T 21001.2</w:t>
            </w:r>
          </w:p>
          <w:p>
            <w:pPr>
              <w:jc w:val="center"/>
              <w:rPr>
                <w:sz w:val="21"/>
                <w:szCs w:val="21"/>
              </w:rPr>
            </w:pPr>
            <w:r>
              <w:rPr>
                <w:sz w:val="21"/>
                <w:szCs w:val="21"/>
              </w:rPr>
              <w:t>GB/T 21001.3</w:t>
            </w:r>
          </w:p>
          <w:p>
            <w:pPr>
              <w:jc w:val="center"/>
              <w:rPr>
                <w:sz w:val="21"/>
                <w:szCs w:val="21"/>
              </w:rPr>
            </w:pPr>
            <w:r>
              <w:rPr>
                <w:sz w:val="21"/>
                <w:szCs w:val="21"/>
              </w:rPr>
              <w:t>SB/T 10794.2</w:t>
            </w:r>
          </w:p>
          <w:p>
            <w:pPr>
              <w:jc w:val="center"/>
              <w:rPr>
                <w:sz w:val="21"/>
                <w:szCs w:val="21"/>
              </w:rPr>
            </w:pPr>
            <w:r>
              <w:rPr>
                <w:sz w:val="21"/>
                <w:szCs w:val="21"/>
              </w:rPr>
              <w:t>SB/T 10794.3</w:t>
            </w:r>
          </w:p>
        </w:tc>
        <w:tc>
          <w:tcPr>
            <w:tcW w:w="942" w:type="dxa"/>
            <w:vMerge w:val="continue"/>
            <w:shd w:val="clear" w:color="auto" w:fill="auto"/>
            <w:vAlign w:val="center"/>
          </w:tcPr>
          <w:p>
            <w:pPr>
              <w:jc w:val="center"/>
              <w:rPr>
                <w:sz w:val="21"/>
                <w:szCs w:val="21"/>
              </w:rPr>
            </w:pPr>
          </w:p>
        </w:tc>
        <w:tc>
          <w:tcPr>
            <w:tcW w:w="716" w:type="dxa"/>
            <w:vMerge w:val="continue"/>
            <w:shd w:val="clear" w:color="auto" w:fill="auto"/>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5" w:type="dxa"/>
            <w:shd w:val="clear" w:color="auto" w:fill="auto"/>
            <w:vAlign w:val="center"/>
          </w:tcPr>
          <w:p>
            <w:pPr>
              <w:numPr>
                <w:ilvl w:val="0"/>
                <w:numId w:val="1"/>
              </w:numPr>
              <w:jc w:val="center"/>
              <w:rPr>
                <w:sz w:val="21"/>
                <w:szCs w:val="21"/>
              </w:rPr>
            </w:pPr>
          </w:p>
        </w:tc>
        <w:tc>
          <w:tcPr>
            <w:tcW w:w="1713" w:type="dxa"/>
            <w:shd w:val="clear" w:color="auto" w:fill="auto"/>
            <w:vAlign w:val="center"/>
          </w:tcPr>
          <w:p>
            <w:pPr>
              <w:jc w:val="center"/>
              <w:rPr>
                <w:sz w:val="21"/>
                <w:szCs w:val="21"/>
              </w:rPr>
            </w:pPr>
            <w:r>
              <w:rPr>
                <w:rFonts w:hAnsi="宋体"/>
                <w:sz w:val="21"/>
                <w:szCs w:val="21"/>
              </w:rPr>
              <w:t>冷冻能力</w:t>
            </w:r>
          </w:p>
        </w:tc>
        <w:tc>
          <w:tcPr>
            <w:tcW w:w="1958" w:type="dxa"/>
            <w:shd w:val="clear" w:color="auto" w:fill="auto"/>
            <w:vAlign w:val="center"/>
          </w:tcPr>
          <w:p>
            <w:pPr>
              <w:jc w:val="center"/>
              <w:rPr>
                <w:sz w:val="21"/>
                <w:szCs w:val="21"/>
              </w:rPr>
            </w:pPr>
            <w:r>
              <w:rPr>
                <w:sz w:val="21"/>
                <w:szCs w:val="21"/>
              </w:rPr>
              <w:t>GB/T 8059</w:t>
            </w:r>
          </w:p>
        </w:tc>
        <w:tc>
          <w:tcPr>
            <w:tcW w:w="1018" w:type="dxa"/>
            <w:shd w:val="clear" w:color="auto" w:fill="auto"/>
            <w:vAlign w:val="center"/>
          </w:tcPr>
          <w:p>
            <w:pPr>
              <w:jc w:val="center"/>
              <w:rPr>
                <w:sz w:val="21"/>
                <w:szCs w:val="21"/>
              </w:rPr>
            </w:pPr>
            <w:r>
              <w:rPr>
                <w:rFonts w:hAnsi="宋体"/>
                <w:sz w:val="21"/>
                <w:szCs w:val="21"/>
              </w:rPr>
              <w:t>推荐性</w:t>
            </w:r>
          </w:p>
        </w:tc>
        <w:tc>
          <w:tcPr>
            <w:tcW w:w="1843" w:type="dxa"/>
            <w:shd w:val="clear" w:color="auto" w:fill="auto"/>
            <w:vAlign w:val="center"/>
          </w:tcPr>
          <w:p>
            <w:pPr>
              <w:jc w:val="center"/>
              <w:rPr>
                <w:sz w:val="21"/>
                <w:szCs w:val="21"/>
              </w:rPr>
            </w:pPr>
            <w:r>
              <w:rPr>
                <w:sz w:val="21"/>
                <w:szCs w:val="21"/>
              </w:rPr>
              <w:t>GB/T 8059</w:t>
            </w:r>
          </w:p>
        </w:tc>
        <w:tc>
          <w:tcPr>
            <w:tcW w:w="942" w:type="dxa"/>
            <w:shd w:val="clear" w:color="auto" w:fill="auto"/>
            <w:vAlign w:val="center"/>
          </w:tcPr>
          <w:p>
            <w:pPr>
              <w:jc w:val="center"/>
              <w:rPr>
                <w:sz w:val="21"/>
                <w:szCs w:val="21"/>
              </w:rPr>
            </w:pPr>
          </w:p>
        </w:tc>
        <w:tc>
          <w:tcPr>
            <w:tcW w:w="716" w:type="dxa"/>
            <w:shd w:val="clear" w:color="auto" w:fill="auto"/>
            <w:vAlign w:val="center"/>
          </w:tcPr>
          <w:p>
            <w:pPr>
              <w:snapToGrid w:val="0"/>
              <w:jc w:val="center"/>
              <w:rPr>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5" w:type="dxa"/>
            <w:vAlign w:val="center"/>
          </w:tcPr>
          <w:p>
            <w:pPr>
              <w:numPr>
                <w:ilvl w:val="0"/>
                <w:numId w:val="1"/>
              </w:numPr>
              <w:jc w:val="center"/>
              <w:rPr>
                <w:sz w:val="21"/>
                <w:szCs w:val="21"/>
              </w:rPr>
            </w:pPr>
          </w:p>
        </w:tc>
        <w:tc>
          <w:tcPr>
            <w:tcW w:w="1713" w:type="dxa"/>
            <w:vAlign w:val="center"/>
          </w:tcPr>
          <w:p>
            <w:pPr>
              <w:jc w:val="center"/>
              <w:rPr>
                <w:sz w:val="21"/>
                <w:szCs w:val="21"/>
              </w:rPr>
            </w:pPr>
            <w:r>
              <w:rPr>
                <w:rFonts w:hAnsi="宋体"/>
                <w:sz w:val="21"/>
                <w:szCs w:val="21"/>
              </w:rPr>
              <w:t>连续骚扰电压</w:t>
            </w:r>
          </w:p>
        </w:tc>
        <w:tc>
          <w:tcPr>
            <w:tcW w:w="1958" w:type="dxa"/>
            <w:vAlign w:val="center"/>
          </w:tcPr>
          <w:p>
            <w:pPr>
              <w:jc w:val="center"/>
              <w:rPr>
                <w:sz w:val="21"/>
                <w:szCs w:val="21"/>
              </w:rPr>
            </w:pPr>
            <w:r>
              <w:rPr>
                <w:sz w:val="21"/>
                <w:szCs w:val="21"/>
              </w:rPr>
              <w:t>GB</w:t>
            </w:r>
            <w:r>
              <w:rPr>
                <w:rFonts w:hint="eastAsia"/>
                <w:sz w:val="21"/>
                <w:szCs w:val="21"/>
              </w:rPr>
              <w:t xml:space="preserve"> </w:t>
            </w:r>
            <w:r>
              <w:rPr>
                <w:sz w:val="21"/>
                <w:szCs w:val="21"/>
              </w:rPr>
              <w:t>4343.1</w:t>
            </w:r>
          </w:p>
        </w:tc>
        <w:tc>
          <w:tcPr>
            <w:tcW w:w="1018" w:type="dxa"/>
            <w:vAlign w:val="center"/>
          </w:tcPr>
          <w:p>
            <w:pPr>
              <w:jc w:val="center"/>
              <w:rPr>
                <w:sz w:val="21"/>
                <w:szCs w:val="21"/>
              </w:rPr>
            </w:pPr>
            <w:r>
              <w:rPr>
                <w:rFonts w:hAnsi="宋体"/>
                <w:sz w:val="21"/>
                <w:szCs w:val="21"/>
              </w:rPr>
              <w:t>强制性</w:t>
            </w:r>
          </w:p>
        </w:tc>
        <w:tc>
          <w:tcPr>
            <w:tcW w:w="1843" w:type="dxa"/>
            <w:vAlign w:val="center"/>
          </w:tcPr>
          <w:p>
            <w:pPr>
              <w:jc w:val="center"/>
              <w:rPr>
                <w:color w:val="000000"/>
                <w:sz w:val="21"/>
                <w:szCs w:val="21"/>
              </w:rPr>
            </w:pPr>
            <w:r>
              <w:rPr>
                <w:sz w:val="21"/>
                <w:szCs w:val="21"/>
              </w:rPr>
              <w:t>GB</w:t>
            </w:r>
            <w:r>
              <w:rPr>
                <w:rFonts w:hint="eastAsia"/>
                <w:sz w:val="21"/>
                <w:szCs w:val="21"/>
              </w:rPr>
              <w:t xml:space="preserve"> </w:t>
            </w:r>
            <w:r>
              <w:rPr>
                <w:sz w:val="21"/>
                <w:szCs w:val="21"/>
              </w:rPr>
              <w:t>4343.1</w:t>
            </w:r>
          </w:p>
        </w:tc>
        <w:tc>
          <w:tcPr>
            <w:tcW w:w="942" w:type="dxa"/>
            <w:vAlign w:val="center"/>
          </w:tcPr>
          <w:p>
            <w:pPr>
              <w:snapToGrid w:val="0"/>
              <w:jc w:val="center"/>
              <w:rPr>
                <w:sz w:val="21"/>
                <w:szCs w:val="21"/>
              </w:rPr>
            </w:pPr>
          </w:p>
        </w:tc>
        <w:tc>
          <w:tcPr>
            <w:tcW w:w="716" w:type="dxa"/>
            <w:vAlign w:val="center"/>
          </w:tcPr>
          <w:p>
            <w:pPr>
              <w:jc w:val="center"/>
              <w:rPr>
                <w:spacing w:val="22"/>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5" w:type="dxa"/>
            <w:vAlign w:val="center"/>
          </w:tcPr>
          <w:p>
            <w:pPr>
              <w:numPr>
                <w:ilvl w:val="0"/>
                <w:numId w:val="1"/>
              </w:numPr>
              <w:jc w:val="center"/>
              <w:rPr>
                <w:sz w:val="21"/>
                <w:szCs w:val="21"/>
              </w:rPr>
            </w:pPr>
          </w:p>
        </w:tc>
        <w:tc>
          <w:tcPr>
            <w:tcW w:w="1713" w:type="dxa"/>
            <w:vAlign w:val="center"/>
          </w:tcPr>
          <w:p>
            <w:pPr>
              <w:jc w:val="center"/>
              <w:rPr>
                <w:sz w:val="21"/>
                <w:szCs w:val="21"/>
              </w:rPr>
            </w:pPr>
            <w:r>
              <w:rPr>
                <w:rFonts w:hAnsi="宋体"/>
                <w:sz w:val="21"/>
                <w:szCs w:val="21"/>
              </w:rPr>
              <w:t>连续骚扰功率</w:t>
            </w:r>
          </w:p>
        </w:tc>
        <w:tc>
          <w:tcPr>
            <w:tcW w:w="1958" w:type="dxa"/>
            <w:vAlign w:val="center"/>
          </w:tcPr>
          <w:p>
            <w:pPr>
              <w:jc w:val="center"/>
              <w:rPr>
                <w:sz w:val="21"/>
                <w:szCs w:val="21"/>
              </w:rPr>
            </w:pPr>
            <w:r>
              <w:rPr>
                <w:sz w:val="21"/>
                <w:szCs w:val="21"/>
              </w:rPr>
              <w:t>GB</w:t>
            </w:r>
            <w:r>
              <w:rPr>
                <w:rFonts w:hint="eastAsia"/>
                <w:sz w:val="21"/>
                <w:szCs w:val="21"/>
              </w:rPr>
              <w:t xml:space="preserve"> </w:t>
            </w:r>
            <w:r>
              <w:rPr>
                <w:sz w:val="21"/>
                <w:szCs w:val="21"/>
              </w:rPr>
              <w:t>4343.1</w:t>
            </w:r>
          </w:p>
        </w:tc>
        <w:tc>
          <w:tcPr>
            <w:tcW w:w="1018" w:type="dxa"/>
            <w:vAlign w:val="center"/>
          </w:tcPr>
          <w:p>
            <w:pPr>
              <w:jc w:val="center"/>
              <w:rPr>
                <w:sz w:val="21"/>
                <w:szCs w:val="21"/>
              </w:rPr>
            </w:pPr>
            <w:r>
              <w:rPr>
                <w:rFonts w:hAnsi="宋体"/>
                <w:sz w:val="21"/>
                <w:szCs w:val="21"/>
              </w:rPr>
              <w:t>强制性</w:t>
            </w:r>
          </w:p>
        </w:tc>
        <w:tc>
          <w:tcPr>
            <w:tcW w:w="1843" w:type="dxa"/>
            <w:vAlign w:val="center"/>
          </w:tcPr>
          <w:p>
            <w:pPr>
              <w:jc w:val="center"/>
              <w:rPr>
                <w:color w:val="000000"/>
                <w:sz w:val="21"/>
                <w:szCs w:val="21"/>
              </w:rPr>
            </w:pPr>
            <w:r>
              <w:rPr>
                <w:sz w:val="21"/>
                <w:szCs w:val="21"/>
              </w:rPr>
              <w:t>GB</w:t>
            </w:r>
            <w:r>
              <w:rPr>
                <w:rFonts w:hint="eastAsia"/>
                <w:sz w:val="21"/>
                <w:szCs w:val="21"/>
              </w:rPr>
              <w:t xml:space="preserve"> </w:t>
            </w:r>
            <w:r>
              <w:rPr>
                <w:sz w:val="21"/>
                <w:szCs w:val="21"/>
              </w:rPr>
              <w:t>4343.1</w:t>
            </w:r>
          </w:p>
        </w:tc>
        <w:tc>
          <w:tcPr>
            <w:tcW w:w="942" w:type="dxa"/>
            <w:vAlign w:val="center"/>
          </w:tcPr>
          <w:p>
            <w:pPr>
              <w:snapToGrid w:val="0"/>
              <w:jc w:val="center"/>
              <w:rPr>
                <w:sz w:val="21"/>
                <w:szCs w:val="21"/>
              </w:rPr>
            </w:pPr>
          </w:p>
        </w:tc>
        <w:tc>
          <w:tcPr>
            <w:tcW w:w="716" w:type="dxa"/>
            <w:vAlign w:val="center"/>
          </w:tcPr>
          <w:p>
            <w:pPr>
              <w:jc w:val="center"/>
              <w:rPr>
                <w:spacing w:val="22"/>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515" w:type="dxa"/>
            <w:vMerge w:val="restart"/>
            <w:vAlign w:val="center"/>
          </w:tcPr>
          <w:p>
            <w:pPr>
              <w:numPr>
                <w:ilvl w:val="0"/>
                <w:numId w:val="1"/>
              </w:numPr>
              <w:jc w:val="center"/>
              <w:rPr>
                <w:sz w:val="21"/>
                <w:szCs w:val="21"/>
              </w:rPr>
            </w:pPr>
          </w:p>
        </w:tc>
        <w:tc>
          <w:tcPr>
            <w:tcW w:w="1713" w:type="dxa"/>
            <w:vAlign w:val="center"/>
          </w:tcPr>
          <w:p>
            <w:pPr>
              <w:jc w:val="center"/>
              <w:rPr>
                <w:sz w:val="21"/>
                <w:szCs w:val="21"/>
              </w:rPr>
            </w:pPr>
            <w:r>
              <w:rPr>
                <w:rFonts w:hAnsi="宋体"/>
                <w:sz w:val="21"/>
                <w:szCs w:val="21"/>
              </w:rPr>
              <w:t>能源效率等级</w:t>
            </w:r>
          </w:p>
        </w:tc>
        <w:tc>
          <w:tcPr>
            <w:tcW w:w="1958" w:type="dxa"/>
            <w:vAlign w:val="center"/>
          </w:tcPr>
          <w:p>
            <w:pPr>
              <w:jc w:val="center"/>
              <w:rPr>
                <w:sz w:val="21"/>
                <w:szCs w:val="21"/>
              </w:rPr>
            </w:pPr>
            <w:r>
              <w:rPr>
                <w:sz w:val="21"/>
                <w:szCs w:val="21"/>
              </w:rPr>
              <w:t xml:space="preserve">GB 12021.2 </w:t>
            </w:r>
            <w:r>
              <w:rPr>
                <w:rFonts w:hAnsi="宋体"/>
                <w:sz w:val="21"/>
                <w:szCs w:val="21"/>
              </w:rPr>
              <w:t>第</w:t>
            </w:r>
            <w:r>
              <w:rPr>
                <w:sz w:val="21"/>
                <w:szCs w:val="21"/>
              </w:rPr>
              <w:t>5</w:t>
            </w:r>
            <w:r>
              <w:rPr>
                <w:rFonts w:hAnsi="宋体"/>
                <w:sz w:val="21"/>
                <w:szCs w:val="21"/>
              </w:rPr>
              <w:t>章</w:t>
            </w:r>
          </w:p>
        </w:tc>
        <w:tc>
          <w:tcPr>
            <w:tcW w:w="1018" w:type="dxa"/>
            <w:vAlign w:val="center"/>
          </w:tcPr>
          <w:p>
            <w:pPr>
              <w:rPr>
                <w:sz w:val="21"/>
                <w:szCs w:val="21"/>
              </w:rPr>
            </w:pPr>
            <w:r>
              <w:rPr>
                <w:rFonts w:hAnsi="宋体"/>
                <w:sz w:val="21"/>
                <w:szCs w:val="21"/>
              </w:rPr>
              <w:t>强制性</w:t>
            </w:r>
          </w:p>
        </w:tc>
        <w:tc>
          <w:tcPr>
            <w:tcW w:w="1843" w:type="dxa"/>
            <w:vAlign w:val="center"/>
          </w:tcPr>
          <w:p>
            <w:pPr>
              <w:jc w:val="center"/>
              <w:rPr>
                <w:color w:val="000000"/>
                <w:sz w:val="21"/>
                <w:szCs w:val="21"/>
              </w:rPr>
            </w:pPr>
            <w:r>
              <w:rPr>
                <w:sz w:val="21"/>
                <w:szCs w:val="21"/>
              </w:rPr>
              <w:t>GB 12021.2</w:t>
            </w:r>
            <w:r>
              <w:rPr>
                <w:rFonts w:hAnsi="宋体"/>
                <w:sz w:val="21"/>
                <w:szCs w:val="21"/>
              </w:rPr>
              <w:t>第</w:t>
            </w:r>
            <w:r>
              <w:rPr>
                <w:sz w:val="21"/>
                <w:szCs w:val="21"/>
              </w:rPr>
              <w:t>5</w:t>
            </w:r>
            <w:r>
              <w:rPr>
                <w:rFonts w:hAnsi="宋体"/>
                <w:sz w:val="21"/>
                <w:szCs w:val="21"/>
              </w:rPr>
              <w:t>章</w:t>
            </w:r>
          </w:p>
        </w:tc>
        <w:tc>
          <w:tcPr>
            <w:tcW w:w="942" w:type="dxa"/>
            <w:vMerge w:val="restart"/>
            <w:vAlign w:val="center"/>
          </w:tcPr>
          <w:p>
            <w:pPr>
              <w:snapToGrid w:val="0"/>
              <w:jc w:val="center"/>
              <w:rPr>
                <w:sz w:val="21"/>
                <w:szCs w:val="21"/>
              </w:rPr>
            </w:pPr>
          </w:p>
        </w:tc>
        <w:tc>
          <w:tcPr>
            <w:tcW w:w="716" w:type="dxa"/>
            <w:vMerge w:val="restart"/>
          </w:tcPr>
          <w:p>
            <w:pPr>
              <w:snapToGrid w:val="0"/>
              <w:jc w:val="center"/>
              <w:rPr>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515" w:type="dxa"/>
            <w:vMerge w:val="continue"/>
            <w:vAlign w:val="center"/>
          </w:tcPr>
          <w:p>
            <w:pPr>
              <w:numPr>
                <w:ilvl w:val="0"/>
                <w:numId w:val="1"/>
              </w:numPr>
              <w:jc w:val="center"/>
              <w:rPr>
                <w:sz w:val="21"/>
                <w:szCs w:val="21"/>
              </w:rPr>
            </w:pPr>
          </w:p>
        </w:tc>
        <w:tc>
          <w:tcPr>
            <w:tcW w:w="1713" w:type="dxa"/>
            <w:vAlign w:val="center"/>
          </w:tcPr>
          <w:p>
            <w:pPr>
              <w:jc w:val="center"/>
              <w:rPr>
                <w:rFonts w:hAnsi="宋体"/>
                <w:sz w:val="21"/>
                <w:szCs w:val="21"/>
              </w:rPr>
            </w:pPr>
            <w:r>
              <w:rPr>
                <w:rFonts w:hint="eastAsia" w:hAnsi="宋体"/>
                <w:sz w:val="21"/>
                <w:szCs w:val="21"/>
              </w:rPr>
              <w:t>能效</w:t>
            </w:r>
          </w:p>
        </w:tc>
        <w:tc>
          <w:tcPr>
            <w:tcW w:w="1958" w:type="dxa"/>
            <w:vAlign w:val="center"/>
          </w:tcPr>
          <w:p>
            <w:pPr>
              <w:jc w:val="center"/>
              <w:rPr>
                <w:sz w:val="21"/>
                <w:szCs w:val="21"/>
              </w:rPr>
            </w:pPr>
            <w:r>
              <w:rPr>
                <w:sz w:val="21"/>
                <w:szCs w:val="21"/>
              </w:rPr>
              <w:t>GB 26920.2-2015</w:t>
            </w:r>
          </w:p>
        </w:tc>
        <w:tc>
          <w:tcPr>
            <w:tcW w:w="1018" w:type="dxa"/>
            <w:vAlign w:val="center"/>
          </w:tcPr>
          <w:p>
            <w:pPr>
              <w:rPr>
                <w:rFonts w:hAnsi="宋体"/>
                <w:sz w:val="21"/>
                <w:szCs w:val="21"/>
              </w:rPr>
            </w:pPr>
            <w:r>
              <w:rPr>
                <w:rFonts w:hAnsi="宋体"/>
                <w:sz w:val="21"/>
                <w:szCs w:val="21"/>
              </w:rPr>
              <w:t>强制性</w:t>
            </w:r>
          </w:p>
        </w:tc>
        <w:tc>
          <w:tcPr>
            <w:tcW w:w="1843" w:type="dxa"/>
            <w:vAlign w:val="center"/>
          </w:tcPr>
          <w:p>
            <w:pPr>
              <w:jc w:val="center"/>
              <w:rPr>
                <w:sz w:val="21"/>
                <w:szCs w:val="21"/>
              </w:rPr>
            </w:pPr>
            <w:r>
              <w:rPr>
                <w:sz w:val="21"/>
                <w:szCs w:val="21"/>
              </w:rPr>
              <w:t>GB 26920.2-2015</w:t>
            </w:r>
          </w:p>
        </w:tc>
        <w:tc>
          <w:tcPr>
            <w:tcW w:w="942" w:type="dxa"/>
            <w:vMerge w:val="continue"/>
            <w:vAlign w:val="center"/>
          </w:tcPr>
          <w:p>
            <w:pPr>
              <w:snapToGrid w:val="0"/>
              <w:jc w:val="center"/>
              <w:rPr>
                <w:sz w:val="21"/>
                <w:szCs w:val="21"/>
              </w:rPr>
            </w:pPr>
          </w:p>
        </w:tc>
        <w:tc>
          <w:tcPr>
            <w:tcW w:w="716" w:type="dxa"/>
            <w:vMerge w:val="continue"/>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05" w:type="dxa"/>
            <w:gridSpan w:val="7"/>
            <w:vAlign w:val="center"/>
          </w:tcPr>
          <w:p>
            <w:pPr>
              <w:rPr>
                <w:sz w:val="21"/>
                <w:szCs w:val="21"/>
              </w:rPr>
            </w:pPr>
            <w:r>
              <w:rPr>
                <w:sz w:val="21"/>
                <w:szCs w:val="21"/>
              </w:rPr>
              <w:t>a</w:t>
            </w:r>
            <w:r>
              <w:rPr>
                <w:rFonts w:hAnsi="宋体"/>
                <w:sz w:val="21"/>
                <w:szCs w:val="21"/>
              </w:rPr>
              <w:t>极重要质量项目</w:t>
            </w:r>
          </w:p>
          <w:p>
            <w:pPr>
              <w:rPr>
                <w:sz w:val="21"/>
                <w:szCs w:val="21"/>
              </w:rPr>
            </w:pPr>
            <w:r>
              <w:rPr>
                <w:sz w:val="21"/>
                <w:szCs w:val="21"/>
              </w:rPr>
              <w:t>b</w:t>
            </w:r>
            <w:r>
              <w:rPr>
                <w:rFonts w:hAnsi="宋体"/>
                <w:sz w:val="21"/>
                <w:szCs w:val="21"/>
              </w:rPr>
              <w:t>重要质量项目</w:t>
            </w:r>
          </w:p>
        </w:tc>
      </w:tr>
    </w:tbl>
    <w:p>
      <w:pPr>
        <w:snapToGrid w:val="0"/>
        <w:spacing w:beforeLines="50" w:line="360" w:lineRule="auto"/>
        <w:ind w:firstLine="360" w:firstLineChars="200"/>
        <w:jc w:val="left"/>
        <w:rPr>
          <w:rFonts w:ascii="宋体"/>
          <w:sz w:val="18"/>
          <w:szCs w:val="18"/>
        </w:rPr>
      </w:pPr>
      <w:r>
        <w:rPr>
          <w:rFonts w:hint="eastAsia" w:ascii="宋体" w:hAnsi="宋体" w:cs="宋体"/>
          <w:sz w:val="18"/>
          <w:szCs w:val="18"/>
        </w:rPr>
        <w:t>注：①极重要质量项目是指直接涉及人体健康、使用安全的指标；重要质量项目是指产品涉及环保、能效、关键性能或特征值的指标。</w:t>
      </w:r>
    </w:p>
    <w:p>
      <w:pPr>
        <w:snapToGrid w:val="0"/>
        <w:spacing w:line="360" w:lineRule="auto"/>
        <w:ind w:firstLine="360" w:firstLineChars="200"/>
        <w:jc w:val="left"/>
        <w:rPr>
          <w:rFonts w:ascii="宋体" w:hAnsi="宋体" w:cs="宋体"/>
          <w:sz w:val="18"/>
          <w:szCs w:val="18"/>
        </w:rPr>
      </w:pPr>
      <w:r>
        <w:rPr>
          <w:rFonts w:hint="eastAsia" w:ascii="宋体" w:hAnsi="宋体" w:cs="宋体"/>
          <w:sz w:val="18"/>
          <w:szCs w:val="18"/>
        </w:rPr>
        <w:t>②上表所列检验项目是有关法律法规、标准等规定的，重点涉及健康、安全、节能、环保</w:t>
      </w:r>
      <w:r>
        <w:rPr>
          <w:rFonts w:hint="eastAsia" w:ascii="??" w:hAnsi="??" w:cs="宋体"/>
          <w:kern w:val="0"/>
          <w:sz w:val="18"/>
          <w:szCs w:val="18"/>
        </w:rPr>
        <w:t>以及消费者、有关组织反映有质量问题的</w:t>
      </w:r>
      <w:r>
        <w:rPr>
          <w:rFonts w:hint="eastAsia" w:ascii="宋体" w:hAnsi="宋体" w:cs="宋体"/>
          <w:sz w:val="18"/>
          <w:szCs w:val="18"/>
        </w:rPr>
        <w:t>重要项目。</w:t>
      </w:r>
    </w:p>
    <w:p>
      <w:pPr>
        <w:snapToGrid w:val="0"/>
        <w:spacing w:line="360" w:lineRule="auto"/>
        <w:rPr>
          <w:rFonts w:ascii="宋体" w:hAnsi="宋体" w:cs="宋体"/>
          <w:b/>
          <w:bCs/>
          <w:color w:val="000000"/>
          <w:kern w:val="0"/>
        </w:rPr>
      </w:pPr>
      <w:r>
        <w:rPr>
          <w:rFonts w:hint="eastAsia" w:ascii="宋体" w:hAnsi="宋体" w:cs="宋体"/>
          <w:b/>
          <w:bCs/>
          <w:color w:val="000000"/>
          <w:kern w:val="0"/>
        </w:rPr>
        <w:t>7.2 检验应注意的问题</w:t>
      </w:r>
    </w:p>
    <w:p>
      <w:pPr>
        <w:snapToGrid w:val="0"/>
        <w:spacing w:line="360" w:lineRule="auto"/>
        <w:ind w:firstLine="420" w:firstLineChars="200"/>
        <w:rPr>
          <w:rFonts w:ascii="宋体" w:hAnsi="宋体" w:cs="宋体"/>
          <w:bCs/>
          <w:color w:val="000000"/>
          <w:kern w:val="0"/>
        </w:rPr>
      </w:pPr>
      <w:r>
        <w:rPr>
          <w:rFonts w:hint="eastAsia" w:ascii="宋体" w:hAnsi="宋体" w:cs="宋体"/>
          <w:bCs/>
          <w:color w:val="000000"/>
          <w:kern w:val="0"/>
        </w:rPr>
        <w:t>若被检产品明示的质量要求高于本细则中检验项目依据的标准要求时，应按被检产品明示的质量要求判定。</w:t>
      </w:r>
    </w:p>
    <w:p>
      <w:pPr>
        <w:snapToGrid w:val="0"/>
        <w:spacing w:line="360" w:lineRule="auto"/>
        <w:ind w:firstLine="420" w:firstLineChars="200"/>
        <w:rPr>
          <w:rFonts w:ascii="宋体" w:hAnsi="宋体" w:cs="宋体"/>
          <w:bCs/>
          <w:color w:val="000000"/>
          <w:kern w:val="0"/>
        </w:rPr>
      </w:pPr>
      <w:r>
        <w:rPr>
          <w:rFonts w:hint="eastAsia" w:ascii="宋体" w:hAnsi="宋体" w:cs="宋体"/>
          <w:bCs/>
          <w:color w:val="000000"/>
          <w:kern w:val="0"/>
        </w:rPr>
        <w:t>若被检产品明示的质量要求低于本细则中检验项目依据的强制性标准要求时，应按照强制性标准要求判定。</w:t>
      </w:r>
    </w:p>
    <w:p>
      <w:pPr>
        <w:snapToGrid w:val="0"/>
        <w:spacing w:line="360" w:lineRule="auto"/>
        <w:ind w:firstLine="420" w:firstLineChars="200"/>
        <w:rPr>
          <w:rFonts w:ascii="宋体" w:hAnsi="宋体" w:cs="宋体"/>
          <w:bCs/>
          <w:color w:val="000000"/>
          <w:kern w:val="0"/>
        </w:rPr>
      </w:pPr>
      <w:r>
        <w:rPr>
          <w:rFonts w:hint="eastAsia" w:ascii="宋体" w:hAnsi="宋体" w:cs="宋体"/>
          <w:bCs/>
          <w:color w:val="000000"/>
          <w:kern w:val="0"/>
        </w:rPr>
        <w:t>若被检产品明示的质量要求低于或包含本细则中检验项目依据的推荐性标准要求时，应以被检产品明示的质量要求判定。</w:t>
      </w:r>
    </w:p>
    <w:p>
      <w:pPr>
        <w:snapToGrid w:val="0"/>
        <w:spacing w:line="360" w:lineRule="auto"/>
        <w:ind w:firstLine="420" w:firstLineChars="200"/>
        <w:rPr>
          <w:rFonts w:ascii="宋体" w:hAnsi="宋体" w:cs="宋体"/>
          <w:bCs/>
          <w:color w:val="000000"/>
          <w:kern w:val="0"/>
        </w:rPr>
      </w:pPr>
      <w:r>
        <w:rPr>
          <w:rFonts w:hint="eastAsia" w:ascii="宋体" w:hAnsi="宋体" w:cs="宋体"/>
          <w:bCs/>
          <w:color w:val="000000"/>
          <w:kern w:val="0"/>
        </w:rPr>
        <w:t>若被检产品明示的质量要求缺少本细则中检验项目依据的强制性标准要求时，应按照强制性标准要求判定。</w:t>
      </w:r>
    </w:p>
    <w:p>
      <w:pPr>
        <w:snapToGrid w:val="0"/>
        <w:spacing w:line="360" w:lineRule="auto"/>
        <w:ind w:firstLine="420" w:firstLineChars="200"/>
        <w:rPr>
          <w:rFonts w:ascii="宋体" w:hAnsi="宋体" w:cs="宋体"/>
          <w:bCs/>
          <w:color w:val="000000"/>
          <w:kern w:val="0"/>
        </w:rPr>
      </w:pPr>
      <w:r>
        <w:rPr>
          <w:rFonts w:hint="eastAsia" w:ascii="宋体" w:hAnsi="宋体" w:cs="宋体"/>
          <w:bCs/>
          <w:color w:val="000000"/>
          <w:kern w:val="0"/>
        </w:rPr>
        <w:t>若被检产品明示的质量要求缺少本细则中检验项目依据的推荐性标准要求时，该项目不参与判定，但应在检验报告备注中进行说明。</w:t>
      </w:r>
    </w:p>
    <w:p>
      <w:pPr>
        <w:snapToGrid w:val="0"/>
        <w:spacing w:line="360" w:lineRule="auto"/>
        <w:rPr>
          <w:rFonts w:ascii="宋体"/>
          <w:b/>
          <w:bCs/>
          <w:color w:val="000000"/>
          <w:kern w:val="0"/>
        </w:rPr>
      </w:pPr>
      <w:r>
        <w:rPr>
          <w:rFonts w:ascii="宋体" w:hAnsi="宋体" w:cs="宋体"/>
          <w:b/>
          <w:bCs/>
          <w:color w:val="000000"/>
          <w:kern w:val="0"/>
        </w:rPr>
        <w:t xml:space="preserve">8 </w:t>
      </w:r>
      <w:r>
        <w:rPr>
          <w:rFonts w:hint="eastAsia" w:ascii="宋体" w:hAnsi="宋体" w:cs="宋体"/>
          <w:b/>
          <w:bCs/>
          <w:color w:val="000000"/>
          <w:kern w:val="0"/>
        </w:rPr>
        <w:t>判定原则</w:t>
      </w:r>
    </w:p>
    <w:p>
      <w:pPr>
        <w:spacing w:line="360" w:lineRule="auto"/>
        <w:ind w:firstLine="420" w:firstLineChars="200"/>
        <w:rPr>
          <w:rFonts w:ascii="宋体" w:hAnsi="宋体" w:cs="宋体"/>
          <w:color w:val="000000"/>
          <w:kern w:val="0"/>
        </w:rPr>
      </w:pPr>
      <w:r>
        <w:rPr>
          <w:rFonts w:hint="eastAsia" w:ascii="宋体" w:hAnsi="宋体" w:cs="宋体"/>
          <w:color w:val="000000"/>
          <w:kern w:val="0"/>
        </w:rPr>
        <w:t>经检验，检验项目全部合格，判定为被抽查产品合格；检验项目中任一项或一项以上不合格，判定为被抽查产品不合格。其中，当产品存在A类项目不合格时，属于严重不合格。</w:t>
      </w:r>
    </w:p>
    <w:p>
      <w:pPr>
        <w:spacing w:line="360" w:lineRule="auto"/>
        <w:rPr>
          <w:rFonts w:ascii="宋体" w:hAnsi="宋体" w:cs="宋体"/>
          <w:b/>
          <w:bCs/>
          <w:kern w:val="0"/>
        </w:rPr>
      </w:pPr>
      <w:r>
        <w:rPr>
          <w:rFonts w:ascii="宋体" w:hAnsi="宋体" w:cs="宋体"/>
          <w:b/>
          <w:bCs/>
          <w:kern w:val="0"/>
        </w:rPr>
        <w:t xml:space="preserve">9 </w:t>
      </w:r>
      <w:r>
        <w:rPr>
          <w:rFonts w:hint="eastAsia" w:ascii="宋体" w:hAnsi="宋体" w:cs="宋体"/>
          <w:b/>
          <w:bCs/>
          <w:kern w:val="0"/>
        </w:rPr>
        <w:t>异议处理</w:t>
      </w:r>
    </w:p>
    <w:p>
      <w:pPr>
        <w:spacing w:line="360" w:lineRule="auto"/>
        <w:ind w:firstLine="411" w:firstLineChars="196"/>
        <w:rPr>
          <w:rFonts w:ascii="宋体" w:hAnsi="宋体" w:cs="宋体"/>
          <w:kern w:val="0"/>
        </w:rPr>
      </w:pPr>
      <w:r>
        <w:rPr>
          <w:rFonts w:hint="eastAsia" w:ascii="宋体" w:hAnsi="宋体" w:cs="宋体"/>
          <w:kern w:val="0"/>
        </w:rPr>
        <w:t>对判定不合格产品进行异议处理时，按以下方式进行：</w:t>
      </w:r>
    </w:p>
    <w:p>
      <w:pPr>
        <w:spacing w:line="360" w:lineRule="auto"/>
        <w:rPr>
          <w:rFonts w:ascii="宋体" w:hAnsi="宋体" w:cs="宋体"/>
          <w:kern w:val="0"/>
        </w:rPr>
      </w:pPr>
      <w:r>
        <w:rPr>
          <w:rFonts w:hint="eastAsia" w:ascii="宋体" w:hAnsi="宋体" w:cs="宋体"/>
          <w:b/>
          <w:kern w:val="0"/>
        </w:rPr>
        <w:t>9.1</w:t>
      </w:r>
      <w:r>
        <w:rPr>
          <w:rFonts w:hint="eastAsia" w:ascii="宋体" w:hAnsi="宋体" w:cs="宋体"/>
          <w:kern w:val="0"/>
        </w:rPr>
        <w:t xml:space="preserve"> 核查不合格项目相关证据，能够以记录（纸质记录或电子记录或影像记录）或与不合格项目相关联的其它质量数据等检验证据证明。</w:t>
      </w:r>
    </w:p>
    <w:p>
      <w:pPr>
        <w:spacing w:line="360" w:lineRule="auto"/>
        <w:rPr>
          <w:rFonts w:ascii="宋体" w:hAnsi="宋体" w:cs="宋体"/>
          <w:kern w:val="0"/>
        </w:rPr>
      </w:pPr>
      <w:r>
        <w:rPr>
          <w:rFonts w:hint="eastAsia" w:ascii="宋体" w:hAnsi="宋体" w:cs="宋体"/>
          <w:b/>
          <w:kern w:val="0"/>
        </w:rPr>
        <w:t>9.2</w:t>
      </w:r>
      <w:r>
        <w:rPr>
          <w:rFonts w:hint="eastAsia" w:ascii="宋体" w:hAnsi="宋体" w:cs="宋体"/>
          <w:kern w:val="0"/>
        </w:rPr>
        <w:t xml:space="preserve"> 对需要复检并具备检验条件的，处理企业异议的市场监督管理部门或者指定检验机构应当按原监督抽查方案对留存的样品或抽取的备用样品组织复检，并出具检验报告。复检结论为最终结论。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im Sun">
    <w:altName w:val="方正舒体"/>
    <w:panose1 w:val="00000000000000000000"/>
    <w:charset w:val="86"/>
    <w:family w:val="swiss"/>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432E"/>
    <w:rsid w:val="000328D3"/>
    <w:rsid w:val="0004329F"/>
    <w:rsid w:val="000638FA"/>
    <w:rsid w:val="000E6320"/>
    <w:rsid w:val="000F589A"/>
    <w:rsid w:val="0011432E"/>
    <w:rsid w:val="00135AEA"/>
    <w:rsid w:val="002E2661"/>
    <w:rsid w:val="002F04C7"/>
    <w:rsid w:val="003255C7"/>
    <w:rsid w:val="0037101C"/>
    <w:rsid w:val="00494265"/>
    <w:rsid w:val="004B386A"/>
    <w:rsid w:val="004C2487"/>
    <w:rsid w:val="00571F88"/>
    <w:rsid w:val="00627ADF"/>
    <w:rsid w:val="00671203"/>
    <w:rsid w:val="00691BE4"/>
    <w:rsid w:val="00697837"/>
    <w:rsid w:val="00725260"/>
    <w:rsid w:val="00745748"/>
    <w:rsid w:val="00843589"/>
    <w:rsid w:val="00897CED"/>
    <w:rsid w:val="00901444"/>
    <w:rsid w:val="009C0829"/>
    <w:rsid w:val="00A001B9"/>
    <w:rsid w:val="00A37890"/>
    <w:rsid w:val="00B453BE"/>
    <w:rsid w:val="00B7311C"/>
    <w:rsid w:val="00BA1B02"/>
    <w:rsid w:val="00BA3872"/>
    <w:rsid w:val="00CA46A6"/>
    <w:rsid w:val="00D4634E"/>
    <w:rsid w:val="00D60FE1"/>
    <w:rsid w:val="00E266B1"/>
    <w:rsid w:val="00E3773E"/>
    <w:rsid w:val="00E94AA6"/>
    <w:rsid w:val="00E96871"/>
    <w:rsid w:val="00EB782F"/>
    <w:rsid w:val="00ED2B7E"/>
    <w:rsid w:val="00EF2C8E"/>
    <w:rsid w:val="00F92B2F"/>
    <w:rsid w:val="00FA51EF"/>
    <w:rsid w:val="1B6B6BAB"/>
    <w:rsid w:val="32242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unhideWhenUsed/>
    <w:qFormat/>
    <w:uiPriority w:val="0"/>
    <w:pPr>
      <w:spacing w:before="100" w:beforeAutospacing="1" w:after="100" w:afterAutospacing="1"/>
    </w:pPr>
    <w:rPr>
      <w:rFonts w:ascii="Times New Roman" w:hAnsi="Times New Roman" w:eastAsia="宋体" w:cs="Times New Roman"/>
      <w:kern w:val="0"/>
      <w:sz w:val="24"/>
      <w:szCs w:val="20"/>
      <w:lang w:val="en-US" w:eastAsia="zh-CN" w:bidi="ar-SA"/>
    </w:rPr>
  </w:style>
  <w:style w:type="character" w:styleId="6">
    <w:name w:val="Hyperlink"/>
    <w:basedOn w:val="5"/>
    <w:unhideWhenUsed/>
    <w:qFormat/>
    <w:uiPriority w:val="99"/>
    <w:rPr>
      <w:color w:val="0000FF"/>
      <w:u w:val="single"/>
    </w:rPr>
  </w:style>
  <w:style w:type="character" w:customStyle="1" w:styleId="8">
    <w:name w:val="页眉 Char"/>
    <w:basedOn w:val="5"/>
    <w:link w:val="3"/>
    <w:semiHidden/>
    <w:uiPriority w:val="99"/>
    <w:rPr>
      <w:rFonts w:ascii="Times New Roman" w:hAnsi="Times New Roman" w:eastAsia="宋体" w:cs="Times New Roman"/>
      <w:sz w:val="18"/>
      <w:szCs w:val="18"/>
    </w:rPr>
  </w:style>
  <w:style w:type="character" w:customStyle="1" w:styleId="9">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697</Words>
  <Characters>3978</Characters>
  <Lines>33</Lines>
  <Paragraphs>9</Paragraphs>
  <TotalTime>83</TotalTime>
  <ScaleCrop>false</ScaleCrop>
  <LinksUpToDate>false</LinksUpToDate>
  <CharactersWithSpaces>4666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2018-10-26T01:46:00Z</dcterms:created>
  <dc:creator>JonMMx 2000</dc:creator>
  <cp:lastModifiedBy>潘雁</cp:lastModifiedBy>
  <dcterms:modified xsi:type="dcterms:W3CDTF">2018-11-23T06:30:35Z</dcterms:modified>
  <dc:title>广东省商用冷柜产品质量监督抽查实施细则</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