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sz w:val="32"/>
          <w:szCs w:val="32"/>
          <w:lang w:eastAsia="zh-CN"/>
        </w:rPr>
      </w:pPr>
      <w:r>
        <w:rPr>
          <w:rFonts w:hint="eastAsia" w:ascii="宋体" w:hAnsi="宋体"/>
          <w:sz w:val="32"/>
          <w:szCs w:val="32"/>
        </w:rPr>
        <w:t>附件</w:t>
      </w:r>
      <w:r>
        <w:rPr>
          <w:rFonts w:hint="eastAsia" w:ascii="宋体" w:hAnsi="宋体"/>
          <w:sz w:val="32"/>
          <w:szCs w:val="32"/>
          <w:lang w:val="en-US" w:eastAsia="zh-CN"/>
        </w:rPr>
        <w:t>3</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部分检验依据、项目的</w:t>
      </w:r>
      <w:r>
        <w:rPr>
          <w:rFonts w:hint="eastAsia" w:ascii="方正小标宋简体" w:eastAsia="方正小标宋简体"/>
          <w:sz w:val="44"/>
          <w:szCs w:val="44"/>
        </w:rPr>
        <w:t>说明</w:t>
      </w:r>
    </w:p>
    <w:p>
      <w:pPr>
        <w:spacing w:line="600" w:lineRule="exact"/>
        <w:ind w:firstLine="643" w:firstLineChars="200"/>
        <w:rPr>
          <w:rFonts w:ascii="仿宋_GB2312" w:hAnsi="Times New Roman" w:eastAsia="仿宋_GB2312"/>
          <w:b/>
          <w:sz w:val="32"/>
          <w:szCs w:val="32"/>
        </w:rPr>
      </w:pPr>
    </w:p>
    <w:p>
      <w:pPr>
        <w:pStyle w:val="12"/>
        <w:numPr>
          <w:ilvl w:val="0"/>
          <w:numId w:val="1"/>
        </w:numPr>
        <w:spacing w:line="600" w:lineRule="exact"/>
        <w:ind w:left="958" w:leftChars="304" w:hanging="320" w:hangingChars="1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rPr>
        <w:t>抽检依据</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饼干</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《饼干》</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GB/T 20980-2007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食品添加剂使用标准》</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2760-2014</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食品中污染物限量》</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2762-2017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lang w:val="en-US" w:eastAsia="zh-CN"/>
        </w:rPr>
      </w:pPr>
      <w:r>
        <w:rPr>
          <w:rFonts w:hint="eastAsia" w:hAnsi="宋体" w:eastAsia="仿宋_GB2312" w:cs="Times New Roman"/>
          <w:color w:val="auto"/>
          <w:kern w:val="2"/>
          <w:sz w:val="32"/>
          <w:szCs w:val="32"/>
          <w:lang w:val="en-US" w:eastAsia="zh-CN"/>
        </w:rPr>
        <w:t>炒货食品及坚果制品</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《食品安全国家标准 坚果与籽类食品》(GB</w:t>
      </w:r>
      <w:r>
        <w:rPr>
          <w:rFonts w:hint="eastAsia" w:hAnsi="宋体" w:eastAsia="仿宋_GB2312" w:cs="Times New Roman"/>
          <w:color w:val="auto"/>
          <w:kern w:val="2"/>
          <w:sz w:val="32"/>
          <w:szCs w:val="32"/>
          <w:highlight w:val="none"/>
          <w:lang w:val="en-US" w:eastAsia="zh-CN"/>
        </w:rPr>
        <w:t xml:space="preserve"> </w:t>
      </w:r>
      <w:r>
        <w:rPr>
          <w:rFonts w:hint="eastAsia" w:hAnsi="宋体" w:eastAsia="仿宋_GB2312" w:cs="Times New Roman"/>
          <w:color w:val="auto"/>
          <w:kern w:val="2"/>
          <w:sz w:val="32"/>
          <w:szCs w:val="32"/>
          <w:highlight w:val="none"/>
        </w:rPr>
        <w:t>19300-2014)等标准及产品明示标准和指标的要求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方便食品</w:t>
      </w:r>
    </w:p>
    <w:p>
      <w:pPr>
        <w:pStyle w:val="12"/>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highlight w:val="none"/>
        </w:rPr>
        <w:t>《食品安全国家标准食品中污染物限量》(GB</w:t>
      </w:r>
      <w:r>
        <w:rPr>
          <w:rFonts w:hint="eastAsia" w:hAnsi="宋体" w:eastAsia="仿宋_GB2312" w:cs="Times New Roman"/>
          <w:color w:val="auto"/>
          <w:kern w:val="2"/>
          <w:sz w:val="32"/>
          <w:szCs w:val="32"/>
          <w:highlight w:val="none"/>
          <w:lang w:val="en-US" w:eastAsia="zh-CN"/>
        </w:rPr>
        <w:t xml:space="preserve"> </w:t>
      </w:r>
      <w:r>
        <w:rPr>
          <w:rFonts w:hint="eastAsia" w:hAnsi="宋体" w:eastAsia="仿宋_GB2312" w:cs="Times New Roman"/>
          <w:color w:val="auto"/>
          <w:kern w:val="2"/>
          <w:sz w:val="32"/>
          <w:szCs w:val="32"/>
          <w:highlight w:val="none"/>
        </w:rPr>
        <w:t>2762-2012)、《食品安全国家标准食品添加剂使用标准》(GB</w:t>
      </w:r>
      <w:r>
        <w:rPr>
          <w:rFonts w:hint="eastAsia" w:hAnsi="宋体" w:eastAsia="仿宋_GB2312" w:cs="Times New Roman"/>
          <w:color w:val="auto"/>
          <w:kern w:val="2"/>
          <w:sz w:val="32"/>
          <w:szCs w:val="32"/>
          <w:highlight w:val="none"/>
          <w:lang w:val="en-US" w:eastAsia="zh-CN"/>
        </w:rPr>
        <w:t xml:space="preserve"> </w:t>
      </w:r>
      <w:r>
        <w:rPr>
          <w:rFonts w:hint="eastAsia" w:hAnsi="宋体" w:eastAsia="仿宋_GB2312" w:cs="Times New Roman"/>
          <w:color w:val="auto"/>
          <w:kern w:val="2"/>
          <w:sz w:val="32"/>
          <w:szCs w:val="32"/>
          <w:highlight w:val="none"/>
        </w:rPr>
        <w:t>2760-2014)、《食品安全国家标准食品中致病菌限量》(GB</w:t>
      </w:r>
      <w:r>
        <w:rPr>
          <w:rFonts w:hint="eastAsia" w:hAnsi="宋体" w:eastAsia="仿宋_GB2312" w:cs="Times New Roman"/>
          <w:color w:val="auto"/>
          <w:kern w:val="2"/>
          <w:sz w:val="32"/>
          <w:szCs w:val="32"/>
          <w:highlight w:val="none"/>
          <w:lang w:val="en-US" w:eastAsia="zh-CN"/>
        </w:rPr>
        <w:t xml:space="preserve"> </w:t>
      </w:r>
      <w:r>
        <w:rPr>
          <w:rFonts w:hint="eastAsia" w:hAnsi="宋体" w:eastAsia="仿宋_GB2312" w:cs="Times New Roman"/>
          <w:color w:val="auto"/>
          <w:kern w:val="2"/>
          <w:sz w:val="32"/>
          <w:szCs w:val="32"/>
          <w:highlight w:val="none"/>
        </w:rPr>
        <w:t>29921-2013)等标准及产品明示标准和指标的要求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糕点</w:t>
      </w:r>
    </w:p>
    <w:p>
      <w:pPr>
        <w:pStyle w:val="12"/>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highlight w:val="none"/>
        </w:rPr>
        <w:t>《糕点通则》</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GB/T 20977-2007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糕点、面包》</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7099-2015</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食品添加剂使用标准》</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2760-2014</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食品中污染物限量》</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2762-2017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食品中致病菌限量》</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29921-2013</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全国打击违法添加非食用物质和滥用食品添加剂专项整治领导小组关于印发《食品中可能违法添加的非食用物质名单（第二批）》的通知</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 xml:space="preserve">食品整治办〔2009〕5号 </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罐头</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《食品安全国家标准 食品添加剂使用标准》(GB 2760-2014)、《食品安全国家标准 罐头食品》（GB 7098-2015）等标准及产品明示标准和指标的要求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粮食加工品</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《食品安全国家标准 食品添加剂使用标准》</w:t>
      </w:r>
      <w:r>
        <w:rPr>
          <w:rFonts w:hint="eastAsia" w:hAnsi="宋体" w:eastAsia="仿宋_GB2312" w:cs="Times New Roman"/>
          <w:color w:val="auto"/>
          <w:kern w:val="2"/>
          <w:sz w:val="32"/>
          <w:szCs w:val="32"/>
          <w:highlight w:val="none"/>
          <w:lang w:val="en-US" w:eastAsia="zh-CN"/>
        </w:rPr>
        <w:t>(</w:t>
      </w:r>
      <w:r>
        <w:rPr>
          <w:rFonts w:hint="eastAsia" w:hAnsi="宋体" w:eastAsia="仿宋_GB2312" w:cs="Times New Roman"/>
          <w:color w:val="auto"/>
          <w:kern w:val="2"/>
          <w:sz w:val="32"/>
          <w:szCs w:val="32"/>
          <w:highlight w:val="none"/>
        </w:rPr>
        <w:t>GB 2760-2014</w:t>
      </w:r>
      <w:r>
        <w:rPr>
          <w:rFonts w:hint="eastAsia" w:hAnsi="宋体" w:eastAsia="仿宋_GB2312" w:cs="Times New Roman"/>
          <w:color w:val="auto"/>
          <w:kern w:val="2"/>
          <w:sz w:val="32"/>
          <w:szCs w:val="32"/>
          <w:highlight w:val="none"/>
          <w:lang w:val="en-US" w:eastAsia="zh-CN"/>
        </w:rPr>
        <w:t>)</w:t>
      </w:r>
      <w:r>
        <w:rPr>
          <w:rFonts w:hint="eastAsia" w:hAnsi="宋体" w:eastAsia="仿宋_GB2312" w:cs="Times New Roman"/>
          <w:color w:val="auto"/>
          <w:kern w:val="2"/>
          <w:sz w:val="32"/>
          <w:szCs w:val="32"/>
          <w:highlight w:val="none"/>
        </w:rPr>
        <w:t xml:space="preserve"> 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食糖</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《食品安全国家标准 食品中污染物限量》</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2762-2017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食品添加剂使用标准》</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2760-2014</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食糖》</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13104-2014</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食用农产品</w:t>
      </w:r>
    </w:p>
    <w:p>
      <w:pPr>
        <w:pStyle w:val="12"/>
        <w:spacing w:line="600" w:lineRule="exact"/>
        <w:ind w:firstLine="640" w:firstLineChars="2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rPr>
        <w:t>《食品安全国家标准鲜(冻)畜、禽产品》(GB</w:t>
      </w:r>
      <w:r>
        <w:rPr>
          <w:rFonts w:hint="eastAsia" w:hAnsi="宋体" w:eastAsia="仿宋_GB2312" w:cs="Times New Roman"/>
          <w:color w:val="auto"/>
          <w:kern w:val="2"/>
          <w:sz w:val="32"/>
          <w:szCs w:val="32"/>
          <w:highlight w:val="none"/>
          <w:lang w:val="en-US" w:eastAsia="zh-CN"/>
        </w:rPr>
        <w:t xml:space="preserve"> </w:t>
      </w:r>
      <w:r>
        <w:rPr>
          <w:rFonts w:hint="eastAsia" w:hAnsi="宋体" w:eastAsia="仿宋_GB2312" w:cs="Times New Roman"/>
          <w:color w:val="auto"/>
          <w:kern w:val="2"/>
          <w:sz w:val="32"/>
          <w:szCs w:val="32"/>
          <w:highlight w:val="none"/>
        </w:rPr>
        <w:t>2707-2016)《食品安全国家标准 食品中污染物限量》(GB 2762-2017)、《食品安全国家标准 食品中农药最大残留限量》(GB 2763-2019)</w:t>
      </w:r>
      <w:r>
        <w:rPr>
          <w:rFonts w:hint="eastAsia" w:hAnsi="宋体" w:eastAsia="仿宋_GB2312" w:cs="Times New Roman"/>
          <w:color w:val="auto"/>
          <w:kern w:val="2"/>
          <w:sz w:val="32"/>
          <w:szCs w:val="32"/>
          <w:highlight w:val="none"/>
          <w:lang w:eastAsia="zh-CN"/>
        </w:rPr>
        <w:t>、《食品安全国家标准 食品中兽药最大残留限量》(GB 31650-2019)、《动物性食品中兽药最高残留限量》（中华人民共和国农业部公告第235号）、《兽药地方标准废止目录》（中华人民共和国农业部公告第560号）、《发布在食品动物中停止使用洛美沙星、培氟沙星、氧氟沙星、诺氟沙星4种兽药的决定》(农业部公告第2292号)、违法添加的非食用物质和易滥用的食品添加剂名单(第四批)》的通知(整顿办函〔2010〕50号)、《食品动物中禁止使用的药品及其他化合物清单》(农业农村部公告第250号)、国家食品药品监督管理总局农业部国家卫生和计划生育委员会关于豆芽生产过程禁止使用6-苄基腺嘌呤等物质的公告(2015年第11号)的要求</w:t>
      </w:r>
      <w:r>
        <w:rPr>
          <w:rFonts w:hint="eastAsia" w:hAnsi="宋体" w:eastAsia="仿宋_GB2312" w:cs="Times New Roman"/>
          <w:color w:val="auto"/>
          <w:kern w:val="2"/>
          <w:sz w:val="32"/>
          <w:szCs w:val="32"/>
          <w:highlight w:val="none"/>
        </w:rPr>
        <w:t>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食用油、油脂及其制品</w:t>
      </w:r>
    </w:p>
    <w:p>
      <w:pPr>
        <w:pStyle w:val="12"/>
        <w:spacing w:line="600" w:lineRule="exact"/>
        <w:ind w:firstLine="640" w:firstLineChars="200"/>
        <w:jc w:val="both"/>
        <w:rPr>
          <w:rFonts w:hint="eastAsia" w:hAnsi="宋体" w:eastAsia="仿宋_GB2312" w:cs="Times New Roman"/>
          <w:color w:val="auto"/>
          <w:kern w:val="2"/>
          <w:sz w:val="32"/>
          <w:szCs w:val="32"/>
          <w:highlight w:val="none"/>
          <w:lang w:eastAsia="zh-CN"/>
        </w:rPr>
      </w:pPr>
      <w:r>
        <w:rPr>
          <w:rFonts w:hint="eastAsia" w:hAnsi="宋体" w:eastAsia="仿宋_GB2312" w:cs="Times New Roman"/>
          <w:color w:val="auto"/>
          <w:kern w:val="2"/>
          <w:sz w:val="32"/>
          <w:szCs w:val="32"/>
          <w:highlight w:val="none"/>
        </w:rPr>
        <w:t>《食品安全国家标准 食品添加剂使用标准》(GB 2760-2014)等标准及产品明示标准和指标的要求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蔬菜制品</w:t>
      </w:r>
    </w:p>
    <w:p>
      <w:pPr>
        <w:pStyle w:val="12"/>
        <w:spacing w:line="600" w:lineRule="exact"/>
        <w:ind w:firstLine="640" w:firstLineChars="200"/>
        <w:jc w:val="both"/>
        <w:rPr>
          <w:rFonts w:hint="eastAsia" w:hAnsi="宋体" w:eastAsia="仿宋_GB2312" w:cs="Times New Roman"/>
          <w:color w:val="auto"/>
          <w:kern w:val="2"/>
          <w:sz w:val="32"/>
          <w:szCs w:val="32"/>
          <w:lang w:eastAsia="zh-CN"/>
        </w:rPr>
      </w:pPr>
      <w:r>
        <w:rPr>
          <w:rFonts w:hint="eastAsia" w:hAnsi="宋体" w:eastAsia="仿宋_GB2312" w:cs="Times New Roman"/>
          <w:color w:val="auto"/>
          <w:kern w:val="2"/>
          <w:sz w:val="32"/>
          <w:szCs w:val="32"/>
          <w:highlight w:val="none"/>
        </w:rPr>
        <w:t>《酱腌菜》</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SB/T 10439-2007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食品添加剂使用标准》</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2760-2014</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《食品安全国家标准 食品中污染物限量》</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GB 2762-2017</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全国食品安全整顿工作办公室关于印发《食品中可能违法添加的非食用物质和易滥用的食品添加剂品种名单（第五批）》的通知</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整顿办函〔2011〕1号</w:t>
      </w:r>
      <w:r>
        <w:rPr>
          <w:rFonts w:hint="eastAsia" w:hAnsi="宋体" w:eastAsia="仿宋_GB2312" w:cs="Times New Roman"/>
          <w:color w:val="auto"/>
          <w:kern w:val="2"/>
          <w:sz w:val="32"/>
          <w:szCs w:val="32"/>
          <w:highlight w:val="none"/>
          <w:lang w:eastAsia="zh-CN"/>
        </w:rPr>
        <w:t>）</w:t>
      </w:r>
      <w:r>
        <w:rPr>
          <w:rFonts w:hint="eastAsia" w:hAnsi="宋体" w:eastAsia="仿宋_GB2312" w:cs="Times New Roman"/>
          <w:color w:val="auto"/>
          <w:kern w:val="2"/>
          <w:sz w:val="32"/>
          <w:szCs w:val="32"/>
          <w:highlight w:val="none"/>
        </w:rPr>
        <w:t>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糖果制品</w:t>
      </w:r>
    </w:p>
    <w:p>
      <w:pPr>
        <w:pStyle w:val="12"/>
        <w:spacing w:line="600" w:lineRule="exact"/>
        <w:ind w:firstLine="640" w:firstLineChars="200"/>
        <w:jc w:val="both"/>
        <w:rPr>
          <w:rFonts w:hint="eastAsia" w:hAnsi="宋体" w:eastAsia="仿宋_GB2312" w:cs="Times New Roman"/>
          <w:color w:val="auto"/>
          <w:kern w:val="2"/>
          <w:sz w:val="32"/>
          <w:szCs w:val="32"/>
          <w:lang w:eastAsia="zh-CN"/>
        </w:rPr>
      </w:pPr>
      <w:r>
        <w:rPr>
          <w:rFonts w:hint="eastAsia" w:hAnsi="宋体" w:eastAsia="仿宋_GB2312" w:cs="Times New Roman"/>
          <w:color w:val="auto"/>
          <w:kern w:val="2"/>
          <w:sz w:val="32"/>
          <w:szCs w:val="32"/>
          <w:highlight w:val="none"/>
          <w:lang w:eastAsia="zh-CN"/>
        </w:rPr>
        <w:t>《食品安全国家标准 预包装食品标签通则》</w:t>
      </w:r>
      <w:r>
        <w:rPr>
          <w:rFonts w:hint="eastAsia" w:hAnsi="宋体" w:eastAsia="仿宋_GB2312" w:cs="Times New Roman"/>
          <w:color w:val="auto"/>
          <w:kern w:val="2"/>
          <w:sz w:val="32"/>
          <w:szCs w:val="32"/>
          <w:highlight w:val="none"/>
          <w:lang w:val="en-US" w:eastAsia="zh-CN"/>
        </w:rPr>
        <w:t>(</w:t>
      </w:r>
      <w:r>
        <w:rPr>
          <w:rFonts w:hint="eastAsia" w:hAnsi="宋体" w:eastAsia="仿宋_GB2312" w:cs="Times New Roman"/>
          <w:color w:val="auto"/>
          <w:kern w:val="2"/>
          <w:sz w:val="32"/>
          <w:szCs w:val="32"/>
          <w:highlight w:val="none"/>
          <w:lang w:eastAsia="zh-CN"/>
        </w:rPr>
        <w:t>GB 7718-2011</w:t>
      </w:r>
      <w:r>
        <w:rPr>
          <w:rFonts w:hint="eastAsia" w:hAnsi="宋体" w:eastAsia="仿宋_GB2312" w:cs="Times New Roman"/>
          <w:color w:val="auto"/>
          <w:kern w:val="2"/>
          <w:sz w:val="32"/>
          <w:szCs w:val="32"/>
          <w:highlight w:val="none"/>
          <w:lang w:val="en-US" w:eastAsia="zh-CN"/>
        </w:rPr>
        <w:t>)</w:t>
      </w:r>
      <w:r>
        <w:rPr>
          <w:rFonts w:hint="eastAsia" w:hAnsi="宋体" w:eastAsia="仿宋_GB2312" w:cs="Times New Roman"/>
          <w:color w:val="auto"/>
          <w:kern w:val="2"/>
          <w:sz w:val="32"/>
          <w:szCs w:val="32"/>
          <w:highlight w:val="none"/>
          <w:lang w:eastAsia="zh-CN"/>
        </w:rPr>
        <w:t>、《食品安全国家标准 预包装食品营养标签通则》</w:t>
      </w:r>
      <w:r>
        <w:rPr>
          <w:rFonts w:hint="eastAsia" w:hAnsi="宋体" w:eastAsia="仿宋_GB2312" w:cs="Times New Roman"/>
          <w:color w:val="auto"/>
          <w:kern w:val="2"/>
          <w:sz w:val="32"/>
          <w:szCs w:val="32"/>
          <w:highlight w:val="none"/>
          <w:lang w:val="en-US" w:eastAsia="zh-CN"/>
        </w:rPr>
        <w:t>(</w:t>
      </w:r>
      <w:r>
        <w:rPr>
          <w:rFonts w:hint="eastAsia" w:hAnsi="宋体" w:eastAsia="仿宋_GB2312" w:cs="Times New Roman"/>
          <w:color w:val="auto"/>
          <w:kern w:val="2"/>
          <w:sz w:val="32"/>
          <w:szCs w:val="32"/>
          <w:highlight w:val="none"/>
          <w:lang w:eastAsia="zh-CN"/>
        </w:rPr>
        <w:t>GB 28050-2011</w:t>
      </w:r>
      <w:r>
        <w:rPr>
          <w:rFonts w:hint="eastAsia" w:hAnsi="宋体" w:eastAsia="仿宋_GB2312" w:cs="Times New Roman"/>
          <w:color w:val="auto"/>
          <w:kern w:val="2"/>
          <w:sz w:val="32"/>
          <w:szCs w:val="32"/>
          <w:highlight w:val="none"/>
          <w:lang w:val="en-US" w:eastAsia="zh-CN"/>
        </w:rPr>
        <w:t>)</w:t>
      </w:r>
      <w:r>
        <w:rPr>
          <w:rFonts w:hint="eastAsia" w:hAnsi="宋体" w:eastAsia="仿宋_GB2312" w:cs="Times New Roman"/>
          <w:color w:val="auto"/>
          <w:kern w:val="2"/>
          <w:sz w:val="32"/>
          <w:szCs w:val="32"/>
          <w:highlight w:val="none"/>
        </w:rPr>
        <w:t>等标准及产品明示标</w:t>
      </w:r>
      <w:bookmarkStart w:id="1" w:name="_GoBack"/>
      <w:bookmarkEnd w:id="1"/>
      <w:r>
        <w:rPr>
          <w:rFonts w:hint="eastAsia" w:hAnsi="宋体" w:eastAsia="仿宋_GB2312" w:cs="Times New Roman"/>
          <w:color w:val="auto"/>
          <w:kern w:val="2"/>
          <w:sz w:val="32"/>
          <w:szCs w:val="32"/>
          <w:highlight w:val="none"/>
        </w:rPr>
        <w:t>准和指标的要求</w:t>
      </w:r>
      <w:r>
        <w:rPr>
          <w:rFonts w:hint="eastAsia" w:hAnsi="宋体" w:eastAsia="仿宋_GB2312" w:cs="Times New Roman"/>
          <w:color w:val="auto"/>
          <w:kern w:val="2"/>
          <w:sz w:val="32"/>
          <w:szCs w:val="32"/>
          <w:highlight w:val="none"/>
          <w:lang w:eastAsia="zh-CN"/>
        </w:rPr>
        <w:t>。</w:t>
      </w:r>
    </w:p>
    <w:p>
      <w:pPr>
        <w:pStyle w:val="12"/>
        <w:numPr>
          <w:ilvl w:val="0"/>
          <w:numId w:val="2"/>
        </w:numPr>
        <w:spacing w:line="600" w:lineRule="exact"/>
        <w:ind w:firstLine="640" w:firstLineChars="200"/>
        <w:jc w:val="both"/>
        <w:rPr>
          <w:rFonts w:hint="eastAsia" w:hAnsi="宋体" w:eastAsia="仿宋_GB2312" w:cs="Times New Roman"/>
          <w:color w:val="auto"/>
          <w:kern w:val="2"/>
          <w:sz w:val="32"/>
          <w:szCs w:val="32"/>
        </w:rPr>
      </w:pPr>
      <w:r>
        <w:rPr>
          <w:rFonts w:hint="eastAsia" w:hAnsi="宋体" w:eastAsia="仿宋_GB2312" w:cs="Times New Roman"/>
          <w:color w:val="auto"/>
          <w:kern w:val="2"/>
          <w:sz w:val="32"/>
          <w:szCs w:val="32"/>
        </w:rPr>
        <w:t>调味品</w:t>
      </w:r>
    </w:p>
    <w:p>
      <w:pPr>
        <w:pStyle w:val="12"/>
        <w:spacing w:line="600" w:lineRule="exact"/>
        <w:ind w:firstLine="640" w:firstLineChars="200"/>
        <w:jc w:val="both"/>
        <w:rPr>
          <w:rFonts w:hint="eastAsia" w:hAnsi="宋体" w:eastAsia="仿宋_GB2312" w:cs="Times New Roman"/>
          <w:color w:val="auto"/>
          <w:kern w:val="2"/>
          <w:sz w:val="32"/>
          <w:szCs w:val="32"/>
          <w:highlight w:val="none"/>
          <w:lang w:eastAsia="zh-CN"/>
        </w:rPr>
      </w:pPr>
      <w:r>
        <w:rPr>
          <w:rFonts w:hint="eastAsia" w:hAnsi="宋体" w:eastAsia="仿宋_GB2312" w:cs="Times New Roman"/>
          <w:color w:val="auto"/>
          <w:kern w:val="2"/>
          <w:sz w:val="32"/>
          <w:szCs w:val="32"/>
          <w:highlight w:val="none"/>
          <w:lang w:eastAsia="zh-CN"/>
        </w:rPr>
        <w:t>《香辛料调味品通用技术条件》（GB/T 15691-2008）、《食品安全国家标准 食品添加剂使用标准》（GB 2760-2014）、《食品安全国家标准 食品中污染物限量》（GB 2762-2017）、 全国食品安全整顿工作办公室关于印发《食品中可能违法添加 的非食用物质和易滥用的食品添加剂品种名单（第五批）》的通知（整顿办函〔2011〕1 号）</w:t>
      </w:r>
      <w:r>
        <w:rPr>
          <w:rFonts w:hint="eastAsia" w:hAnsi="宋体" w:eastAsia="仿宋_GB2312" w:cs="Times New Roman"/>
          <w:color w:val="auto"/>
          <w:kern w:val="2"/>
          <w:sz w:val="32"/>
          <w:szCs w:val="32"/>
          <w:highlight w:val="none"/>
        </w:rPr>
        <w:t>等标准及产品明示标准和指标的要求</w:t>
      </w:r>
      <w:r>
        <w:rPr>
          <w:rFonts w:hint="eastAsia" w:hAnsi="宋体" w:eastAsia="仿宋_GB2312" w:cs="Times New Roman"/>
          <w:color w:val="auto"/>
          <w:kern w:val="2"/>
          <w:sz w:val="32"/>
          <w:szCs w:val="32"/>
          <w:highlight w:val="none"/>
          <w:lang w:eastAsia="zh-CN"/>
        </w:rPr>
        <w:t>。</w:t>
      </w:r>
    </w:p>
    <w:p>
      <w:pPr>
        <w:pStyle w:val="12"/>
        <w:numPr>
          <w:ilvl w:val="0"/>
          <w:numId w:val="1"/>
        </w:numPr>
        <w:spacing w:line="600" w:lineRule="exact"/>
        <w:ind w:left="958" w:leftChars="304" w:hanging="320" w:hangingChars="100"/>
        <w:jc w:val="both"/>
        <w:rPr>
          <w:rFonts w:hint="eastAsia" w:hAnsi="宋体" w:eastAsia="仿宋_GB2312" w:cs="Times New Roman"/>
          <w:color w:val="auto"/>
          <w:kern w:val="2"/>
          <w:sz w:val="32"/>
          <w:szCs w:val="32"/>
          <w:highlight w:val="none"/>
        </w:rPr>
      </w:pPr>
      <w:r>
        <w:rPr>
          <w:rFonts w:hint="eastAsia" w:hAnsi="宋体" w:eastAsia="仿宋_GB2312" w:cs="Times New Roman"/>
          <w:color w:val="auto"/>
          <w:kern w:val="2"/>
          <w:sz w:val="32"/>
          <w:szCs w:val="32"/>
          <w:highlight w:val="none"/>
          <w:lang w:eastAsia="zh-CN"/>
        </w:rPr>
        <w:t>检验项目的</w:t>
      </w:r>
      <w:r>
        <w:rPr>
          <w:rFonts w:hint="eastAsia" w:hAnsi="宋体" w:eastAsia="仿宋_GB2312" w:cs="Times New Roman"/>
          <w:color w:val="auto"/>
          <w:kern w:val="2"/>
          <w:sz w:val="32"/>
          <w:szCs w:val="32"/>
          <w:highlight w:val="none"/>
        </w:rPr>
        <w:t>说明</w:t>
      </w:r>
    </w:p>
    <w:p>
      <w:pPr>
        <w:pStyle w:val="12"/>
        <w:numPr>
          <w:ilvl w:val="0"/>
          <w:numId w:val="3"/>
        </w:numPr>
        <w:spacing w:line="600" w:lineRule="exact"/>
        <w:ind w:firstLine="640" w:firstLineChars="200"/>
        <w:jc w:val="both"/>
        <w:rPr>
          <w:rFonts w:hint="eastAsia" w:hAnsi="宋体" w:eastAsia="仿宋_GB2312" w:cs="Times New Roman"/>
          <w:color w:val="auto"/>
          <w:kern w:val="2"/>
          <w:sz w:val="32"/>
          <w:szCs w:val="32"/>
          <w:highlight w:val="none"/>
          <w:lang w:val="en-US" w:eastAsia="zh-CN"/>
        </w:rPr>
      </w:pPr>
      <w:r>
        <w:rPr>
          <w:rFonts w:hint="eastAsia" w:hAnsi="宋体" w:eastAsia="仿宋_GB2312" w:cs="Times New Roman"/>
          <w:color w:val="auto"/>
          <w:kern w:val="2"/>
          <w:sz w:val="32"/>
          <w:szCs w:val="32"/>
          <w:highlight w:val="none"/>
          <w:lang w:val="en-US" w:eastAsia="zh-CN"/>
        </w:rPr>
        <w:t>4-氯苯氧乙酸钠</w:t>
      </w:r>
    </w:p>
    <w:p>
      <w:pPr>
        <w:spacing w:line="560" w:lineRule="exact"/>
        <w:ind w:firstLine="640" w:firstLineChars="200"/>
        <w:jc w:val="left"/>
        <w:rPr>
          <w:rFonts w:hint="eastAsia"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4-氯苯氧乙酸钠，是一种植物生长调节剂。主要用于防止落花落果、抑制豆类生根等，并能调节植物株内激素的平衡。豆芽中检出 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6-苄基腺嘌呤酸钠</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 xml:space="preserve">苯甲酸及其钠盐(以苯甲酸计) </w:t>
      </w:r>
    </w:p>
    <w:p>
      <w:pPr>
        <w:spacing w:line="560" w:lineRule="exact"/>
        <w:ind w:firstLine="640" w:firstLineChars="20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zh-CN" w:eastAsia="zh-CN" w:bidi="zh-CN"/>
        </w:rPr>
        <w:t>苯甲酸及其钠盐是用以保持食品原有品质和营养价值为目的的食品添加剂，被用来抑制食品中微生物的繁殖，以延长食品保质期。苯甲酸可在人体内参与代谢，在人体组织中与蛋白质成分的甘氨酸结合形成马尿酸随尿排出。由于其迅速地代谢和排泄，不会在人体内积累，因此毒性低，合理使用防腐剂对人体健康无害。</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赤藓红</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赤藓红是常见合成着色剂，在现代食品业中应用广泛。合成着色剂没有营养价值。人工合成色素的用量须严格控制，不得超过允许的最大使用量。</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毒死蜱</w:t>
      </w:r>
    </w:p>
    <w:p>
      <w:pPr>
        <w:spacing w:line="560" w:lineRule="exact"/>
        <w:ind w:firstLine="640" w:firstLineChars="20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zh-CN" w:eastAsia="zh-CN" w:bidi="zh-CN"/>
        </w:rPr>
        <w:t>毒死蜱是一种具有触杀、胃毒和熏蒸作用的有机磷杀虫剂。在叶片上残留期一般为 5 至 7 天，在土壤中残留期较长，对鱼类及水生生物毒性较高，对蜜蜂有毒。长期暴露在含有毒死蜱的环境中，可能会导致神经毒性、生殖毒性，并会影响胚胎的生长发育。此次抽检产品中含有残留超标可能为农户过量使用或未超过药效的持效期就上市导致。</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恩诺沙星(以恩诺沙星与环丙沙星之和计)</w:t>
      </w:r>
    </w:p>
    <w:p>
      <w:pPr>
        <w:spacing w:line="560" w:lineRule="exact"/>
        <w:ind w:firstLine="640" w:firstLineChars="200"/>
        <w:jc w:val="left"/>
        <w:rPr>
          <w:rFonts w:hint="default" w:ascii="仿宋" w:hAnsi="仿宋" w:eastAsia="仿宋" w:cs="仿宋"/>
          <w:sz w:val="32"/>
          <w:szCs w:val="32"/>
          <w:lang w:val="en-US" w:eastAsia="zh-CN" w:bidi="zh-CN"/>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氯霉素</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氧氟沙星</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氧氟沙星属于氟喹诺酮类药物，主要用于上述革兰阴性菌所致的呼吸道、咽喉、扁桃体、泌尿道（包括前列腺）、皮肤及软组织、胆囊及胆管、中耳、鼻窦、泪囊、肠道等部位的急、慢性感染。因抗菌谱广、抗菌活性强等曾被广泛用于畜禽细菌性疾病的治疗和预防。抽检产品不合格的原因可能是经营者由于降低养殖水产品的患病率，从而投喂含氧氟沙星的药物，从而提高产量。</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磺胺类(总量)</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_GB2312" w:hAnsi="宋体" w:eastAsia="仿宋_GB2312"/>
          <w:sz w:val="32"/>
          <w:szCs w:val="32"/>
          <w:lang w:val="en-US" w:eastAsia="zh-CN"/>
        </w:rPr>
        <w:t>磺胺类药物是一种人工合成的抗菌药，具有抗菌谱较广、性质稳定、使用简便等特性，对大多数革兰氏阳性菌和阴性菌都有较强抑制作用，广泛用于防治鸡球虫病。《动物性食品中兽药最高残留限量》（农业部公告第235号）规定，磺胺类在所有食品动物的肌肉和脂肪中的最高残留限量为100μg/kg。</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呋喃唑酮代谢物</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硝基呋喃类药物（呋喃它酮、呋喃唑酮、呋喃妥因、呋喃西林）是广谱抗生素，农业部规定该类药物为“禁止使用的药物，在动物性食品中不得检出”。</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氟苯尼考</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氟苯尼考为广谱抗菌药物，一般为动物专用抗菌药，自研究成功以后立即得到广泛应用。一般由于饲料添加或者家禽疾病治疗导致残留积累在家禽体内。农业部公告第 235 号《动物性食品中兽药最高残留限量》对其作了严格的限定：产蛋鸡禁用。</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镉(以Cd计)</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镉均属于重金属污染物，会在水体生物，如鱼类、浮游动物等体内积累富集，并且对它们产生毒性危害风险。本次抽检重金属铅、镉超标的原因可能是因为水体、环境等遭受重金属污染，继而在水产动物体内富集而导致。</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 xml:space="preserve">过氧化值(以脂肪计) </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 xml:space="preserve"> </w:t>
      </w:r>
      <w:r>
        <w:rPr>
          <w:rFonts w:hint="eastAsia" w:ascii="仿宋_GB2312" w:hAnsi="宋体" w:eastAsia="仿宋_GB2312"/>
          <w:sz w:val="32"/>
          <w:szCs w:val="32"/>
          <w:lang w:val="zh-CN" w:eastAsia="zh-CN"/>
        </w:rPr>
        <w:t>过氧化值主要反映食品中油脂是否氧化变质。随着油脂氧化，过氧化值会逐步升高。过氧化值超标可能是产品用油已经变质，或者产品在储存过程中环境条件控制不当，导致油脂酸败；也可能是原料中的脂肪已经氧化，原料储存不当，未采取有效的抗氧化措施，使得终产品油脂氧化。</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菌落总数</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 xml:space="preserve"> </w:t>
      </w:r>
      <w:r>
        <w:rPr>
          <w:rFonts w:hint="eastAsia" w:ascii="仿宋_GB2312" w:hAnsi="宋体" w:eastAsia="仿宋_GB2312"/>
          <w:sz w:val="32"/>
          <w:szCs w:val="32"/>
          <w:lang w:val="zh-CN" w:eastAsia="zh-CN"/>
        </w:rPr>
        <w:t>菌落总数是指示性微生物指标，主要用来评价食品清洁度，反映食品在生产过程中是否符合卫生要求。菌落总数超标主要是由于产品的加工原料、包装材料受污染，或在生产过程中产品受人员、工器具等生产设备、环境的污染等导致，还有可能与产品包装密封不严，储运条件控制不当等有关。</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克百威</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克百威属高毒杀虫剂。对眼睛和皮肤无刺激作用。在试验剂量内对动物无致畸、致突变、致癌作用。对鱼、鸟高毒，对蜜蜂无毒害。能被植物根部吸收，并输送到植物各器官，以叶缘最多。土壤处量残效期长，稻田水面撒施残效期短。适用于水稻、棉花、烟草、大豆等作物上多种害虫的防治，也可专门用作种子处理剂使用。</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氯霉素</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灭蝇胺</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en-US" w:eastAsia="zh-CN" w:bidi="zh-CN"/>
        </w:rPr>
        <w:t>灭蝇胺是一种昆虫生长调节剂类低毒杀虫剂，有非常强的选择性，主要对双翅目昆虫有活性。</w:t>
      </w:r>
      <w:r>
        <w:rPr>
          <w:rFonts w:hint="eastAsia" w:ascii="仿宋" w:hAnsi="仿宋" w:eastAsia="仿宋" w:cs="仿宋"/>
          <w:sz w:val="32"/>
          <w:szCs w:val="32"/>
          <w:lang w:val="zh-CN" w:eastAsia="zh-CN" w:bidi="zh-CN"/>
        </w:rPr>
        <w:t>灭蝇胺适用于多种瓜果蔬菜，主要对"蝇类"害虫具有良好的杀虫作用。目前瓜果蔬菜生产中主要用于防治:各种瓜果类、茄果类、豆类及多种叶菜类蔬菜的美州斑潜蝇、南美斑潜蝇、豆杆黑潜蝇、葱斑潜叶蝇、三叶斑潜蝇等多种潜叶蝇，韭菜及葱、蒜的根蛆(韭菜赤眼草蚊)等。</w:t>
      </w:r>
      <w:r>
        <w:rPr>
          <w:rFonts w:hint="eastAsia" w:ascii="仿宋" w:hAnsi="仿宋" w:eastAsia="仿宋" w:cs="仿宋"/>
          <w:sz w:val="32"/>
          <w:szCs w:val="32"/>
          <w:lang w:val="en-US" w:eastAsia="zh-CN" w:bidi="zh-CN"/>
        </w:rPr>
        <w:t>灭蝇胺</w:t>
      </w:r>
      <w:r>
        <w:rPr>
          <w:rFonts w:hint="eastAsia" w:ascii="仿宋" w:hAnsi="仿宋" w:eastAsia="仿宋" w:cs="仿宋"/>
          <w:sz w:val="32"/>
          <w:szCs w:val="32"/>
          <w:lang w:val="zh-CN" w:eastAsia="zh-CN" w:bidi="zh-CN"/>
        </w:rPr>
        <w:t>持效期较长，但作用速度较慢，是一种高效、低毒生态农药。</w:t>
      </w:r>
      <w:bookmarkStart w:id="0" w:name="4.12氟虫腈"/>
      <w:bookmarkEnd w:id="0"/>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铅</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 w:hAnsi="仿宋" w:eastAsia="仿宋" w:cs="仿宋"/>
          <w:sz w:val="32"/>
          <w:szCs w:val="32"/>
          <w:lang w:val="zh-CN" w:eastAsia="zh-CN" w:bidi="zh-CN"/>
        </w:rPr>
        <w:t>铅是一种稳定的不可降解的污染物，铅超标可能是生产企业对原料质量把关不严，使用了铅含量超标的原料，或生产加工环境不符合要求，由生产设备迁移入产品等导致。</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色值</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_GB2312" w:hAnsi="宋体" w:eastAsia="仿宋_GB2312"/>
          <w:sz w:val="32"/>
          <w:szCs w:val="32"/>
          <w:lang w:val="zh-CN" w:eastAsia="zh-CN"/>
        </w:rPr>
        <w:t>食糖的品质指标之一，主要影响糖品的外观，是杂质多寡的一种反映，也是生产工艺水平的一种体现。</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水胺硫磷</w:t>
      </w:r>
    </w:p>
    <w:p>
      <w:pPr>
        <w:spacing w:line="560" w:lineRule="exact"/>
        <w:ind w:firstLine="640" w:firstLineChars="200"/>
        <w:jc w:val="left"/>
        <w:rPr>
          <w:rFonts w:hint="default" w:ascii="仿宋_GB2312" w:hAnsi="宋体" w:eastAsia="仿宋_GB2312"/>
          <w:sz w:val="32"/>
          <w:szCs w:val="32"/>
          <w:lang w:val="en-US" w:eastAsia="zh-CN"/>
        </w:rPr>
      </w:pPr>
      <w:r>
        <w:rPr>
          <w:rFonts w:hint="eastAsia" w:ascii="仿宋_GB2312" w:hAnsi="宋体" w:eastAsia="仿宋_GB2312"/>
          <w:sz w:val="32"/>
          <w:szCs w:val="32"/>
          <w:lang w:val="zh-CN" w:eastAsia="zh-CN"/>
        </w:rPr>
        <w:t>水胺硫磷是一种速效杀虫、杀螨剂。禁止用于果、茶、烟、菜、中草药植物上。抽检产品不合格可能是农户为了节省成本目的而违规使用在农产品上导致。</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酸价(以脂肪计)(KOH)</w:t>
      </w:r>
    </w:p>
    <w:p>
      <w:pPr>
        <w:spacing w:line="56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_GB2312" w:hAnsi="宋体" w:eastAsia="仿宋_GB2312"/>
          <w:sz w:val="32"/>
          <w:szCs w:val="32"/>
          <w:lang w:val="zh-CN" w:eastAsia="zh-CN"/>
        </w:rPr>
        <w:t>酸价主要反映食品中的油脂酸败程度。酸价超标会导致食品有哈喇味，超标严重时所产生的醛、酮、酸会破坏脂溶性维生素。造成酸价不合格的主要原因有：原料采购上把关不严、生产工艺不达标、产品储藏条件不当，特别是存贮温度较高时易导致食品中的脂肪氧化酸败。</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脱氢乙酸及其钠盐(以脱氢乙酸计)</w:t>
      </w:r>
    </w:p>
    <w:p>
      <w:pPr>
        <w:spacing w:line="600" w:lineRule="exact"/>
        <w:ind w:firstLine="640" w:firstLineChars="200"/>
        <w:jc w:val="left"/>
        <w:rPr>
          <w:rFonts w:hint="default" w:hAnsi="宋体" w:eastAsia="仿宋_GB2312" w:cs="Times New Roman"/>
          <w:color w:val="auto"/>
          <w:kern w:val="2"/>
          <w:sz w:val="32"/>
          <w:szCs w:val="32"/>
          <w:highlight w:val="none"/>
          <w:lang w:val="en-US" w:eastAsia="zh-CN"/>
        </w:rPr>
      </w:pPr>
      <w:r>
        <w:rPr>
          <w:rFonts w:hint="eastAsia" w:ascii="仿宋_GB2312" w:hAnsi="宋体" w:eastAsia="仿宋_GB2312"/>
          <w:sz w:val="32"/>
          <w:szCs w:val="32"/>
          <w:lang w:val="zh-CN" w:eastAsia="zh-CN"/>
        </w:rPr>
        <w:t>脱氢乙酸及其钠盐作为一种广谱食品防腐剂，可以防止细菌的生长和繁殖，尤其对霉菌的抑制作用很强，但毒性较低，按标准规定的范围和使用量使用是安全可靠的。抽检不合格的原因可能是企业为防止食品腐败变质而延长食品的保存时间并保持原有食品的风味，而超限量使用，也有可能是对原材料（包括食品添加剂）把关不严，原料带入。</w:t>
      </w:r>
    </w:p>
    <w:p>
      <w:pPr>
        <w:pStyle w:val="12"/>
        <w:numPr>
          <w:ilvl w:val="0"/>
          <w:numId w:val="3"/>
        </w:numPr>
        <w:spacing w:line="600" w:lineRule="exact"/>
        <w:ind w:firstLine="640" w:firstLineChars="200"/>
        <w:jc w:val="both"/>
        <w:rPr>
          <w:rFonts w:hint="default" w:hAnsi="宋体" w:eastAsia="仿宋_GB2312" w:cs="Times New Roman"/>
          <w:color w:val="auto"/>
          <w:kern w:val="2"/>
          <w:sz w:val="32"/>
          <w:szCs w:val="32"/>
          <w:highlight w:val="none"/>
          <w:lang w:val="en-US" w:eastAsia="zh-CN"/>
        </w:rPr>
      </w:pPr>
      <w:r>
        <w:rPr>
          <w:rFonts w:hint="default" w:hAnsi="宋体" w:eastAsia="仿宋_GB2312" w:cs="Times New Roman"/>
          <w:color w:val="auto"/>
          <w:kern w:val="2"/>
          <w:sz w:val="32"/>
          <w:szCs w:val="32"/>
          <w:highlight w:val="none"/>
          <w:lang w:val="en-US" w:eastAsia="zh-CN"/>
        </w:rPr>
        <w:t>乙基麦芽酚</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乙基麦芽酚是一种香味增效剂，对食品的香味改善和增强具有显著效果，且能延长食品的储存期。《食品安全国家标准 食品添加剂使用标准》（GB 2760-2014）中规定：植物油脂、动物油脂（包括猪油、牛油、鱼油和其他动物脂肪等）不得使用乙基麦芽酚。不合格原因：个别企业为改善食用油感官品质，违规使用了乙基麦芽酚。</w:t>
      </w:r>
    </w:p>
    <w:p>
      <w:pPr>
        <w:pStyle w:val="12"/>
        <w:numPr>
          <w:ilvl w:val="0"/>
          <w:numId w:val="0"/>
        </w:numPr>
        <w:spacing w:line="600" w:lineRule="exact"/>
        <w:jc w:val="both"/>
        <w:rPr>
          <w:rFonts w:hint="default" w:hAnsi="宋体" w:eastAsia="仿宋_GB2312" w:cs="Times New Roman"/>
          <w:color w:val="auto"/>
          <w:kern w:val="2"/>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DDE65"/>
    <w:multiLevelType w:val="singleLevel"/>
    <w:tmpl w:val="952DDE65"/>
    <w:lvl w:ilvl="0" w:tentative="0">
      <w:start w:val="1"/>
      <w:numFmt w:val="chineseCounting"/>
      <w:suff w:val="nothing"/>
      <w:lvlText w:val="（%1）"/>
      <w:lvlJc w:val="left"/>
      <w:rPr>
        <w:rFonts w:hint="eastAsia"/>
      </w:rPr>
    </w:lvl>
  </w:abstractNum>
  <w:abstractNum w:abstractNumId="1">
    <w:nsid w:val="177A552E"/>
    <w:multiLevelType w:val="singleLevel"/>
    <w:tmpl w:val="177A552E"/>
    <w:lvl w:ilvl="0" w:tentative="0">
      <w:start w:val="1"/>
      <w:numFmt w:val="chineseCounting"/>
      <w:suff w:val="nothing"/>
      <w:lvlText w:val="（%1）"/>
      <w:lvlJc w:val="left"/>
      <w:rPr>
        <w:rFonts w:hint="eastAsia"/>
      </w:rPr>
    </w:lvl>
  </w:abstractNum>
  <w:abstractNum w:abstractNumId="2">
    <w:nsid w:val="7E9A4B05"/>
    <w:multiLevelType w:val="singleLevel"/>
    <w:tmpl w:val="7E9A4B0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B054BA"/>
    <w:rsid w:val="03F06EAD"/>
    <w:rsid w:val="050D6EC3"/>
    <w:rsid w:val="078602F3"/>
    <w:rsid w:val="090604A3"/>
    <w:rsid w:val="0A5020B4"/>
    <w:rsid w:val="0BFE7616"/>
    <w:rsid w:val="0C1667AC"/>
    <w:rsid w:val="0CEF6768"/>
    <w:rsid w:val="0D2B2324"/>
    <w:rsid w:val="0E316E25"/>
    <w:rsid w:val="104B7313"/>
    <w:rsid w:val="12577ADA"/>
    <w:rsid w:val="129E58DA"/>
    <w:rsid w:val="139C76A1"/>
    <w:rsid w:val="145F0D0D"/>
    <w:rsid w:val="14744839"/>
    <w:rsid w:val="156B7E6D"/>
    <w:rsid w:val="15886BAB"/>
    <w:rsid w:val="15C74A14"/>
    <w:rsid w:val="16627B1C"/>
    <w:rsid w:val="17177BD8"/>
    <w:rsid w:val="17EF416E"/>
    <w:rsid w:val="18451B3F"/>
    <w:rsid w:val="195B4923"/>
    <w:rsid w:val="19FE57A3"/>
    <w:rsid w:val="1A9E3EB9"/>
    <w:rsid w:val="1DF10696"/>
    <w:rsid w:val="1EED0147"/>
    <w:rsid w:val="1EFF100B"/>
    <w:rsid w:val="1F1D59F0"/>
    <w:rsid w:val="21CC1456"/>
    <w:rsid w:val="22550787"/>
    <w:rsid w:val="25137D68"/>
    <w:rsid w:val="263C6EBE"/>
    <w:rsid w:val="284A5BF2"/>
    <w:rsid w:val="29C16C6A"/>
    <w:rsid w:val="29DF02C5"/>
    <w:rsid w:val="2A277FBA"/>
    <w:rsid w:val="2B461F65"/>
    <w:rsid w:val="2B9E5196"/>
    <w:rsid w:val="2C516F87"/>
    <w:rsid w:val="2C753719"/>
    <w:rsid w:val="2D231FEB"/>
    <w:rsid w:val="2D66027E"/>
    <w:rsid w:val="2FD10C3E"/>
    <w:rsid w:val="305B4673"/>
    <w:rsid w:val="30CE09BD"/>
    <w:rsid w:val="31C6061F"/>
    <w:rsid w:val="325564AA"/>
    <w:rsid w:val="32DD00BD"/>
    <w:rsid w:val="337317F3"/>
    <w:rsid w:val="349F3C3A"/>
    <w:rsid w:val="379573AA"/>
    <w:rsid w:val="386B654E"/>
    <w:rsid w:val="391352A9"/>
    <w:rsid w:val="3ADD2861"/>
    <w:rsid w:val="3AFA4815"/>
    <w:rsid w:val="3D297853"/>
    <w:rsid w:val="40B04F93"/>
    <w:rsid w:val="415428C2"/>
    <w:rsid w:val="423B28CA"/>
    <w:rsid w:val="428D21EB"/>
    <w:rsid w:val="4452544F"/>
    <w:rsid w:val="45D17096"/>
    <w:rsid w:val="46B032DF"/>
    <w:rsid w:val="49A67CE8"/>
    <w:rsid w:val="4B911789"/>
    <w:rsid w:val="4CC14FB3"/>
    <w:rsid w:val="4D3B6B8F"/>
    <w:rsid w:val="4D94490D"/>
    <w:rsid w:val="4DAD2FA1"/>
    <w:rsid w:val="4DDB6E2C"/>
    <w:rsid w:val="4E9C06D0"/>
    <w:rsid w:val="51C0523D"/>
    <w:rsid w:val="520E4E41"/>
    <w:rsid w:val="58D27289"/>
    <w:rsid w:val="58EF2A7D"/>
    <w:rsid w:val="5A50498B"/>
    <w:rsid w:val="5C77642F"/>
    <w:rsid w:val="5CED668D"/>
    <w:rsid w:val="5E751D15"/>
    <w:rsid w:val="5F1D6839"/>
    <w:rsid w:val="60CF2535"/>
    <w:rsid w:val="635B684E"/>
    <w:rsid w:val="68932D56"/>
    <w:rsid w:val="68B26099"/>
    <w:rsid w:val="697C6D68"/>
    <w:rsid w:val="6B4C4B7D"/>
    <w:rsid w:val="6B5F69B6"/>
    <w:rsid w:val="6EF66C78"/>
    <w:rsid w:val="6FF2151A"/>
    <w:rsid w:val="706D666D"/>
    <w:rsid w:val="71894BD7"/>
    <w:rsid w:val="726258D5"/>
    <w:rsid w:val="73B232F5"/>
    <w:rsid w:val="74994EC2"/>
    <w:rsid w:val="74EF7DD6"/>
    <w:rsid w:val="757B108B"/>
    <w:rsid w:val="757B7956"/>
    <w:rsid w:val="77B41AFA"/>
    <w:rsid w:val="77DD7782"/>
    <w:rsid w:val="794F6A88"/>
    <w:rsid w:val="79871452"/>
    <w:rsid w:val="7B6A0503"/>
    <w:rsid w:val="7B802328"/>
    <w:rsid w:val="7BCD75A4"/>
    <w:rsid w:val="7BFA72A7"/>
    <w:rsid w:val="7CA63377"/>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0</TotalTime>
  <ScaleCrop>false</ScaleCrop>
  <LinksUpToDate>false</LinksUpToDate>
  <CharactersWithSpaces>171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2020-12-25T01:27:43Z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