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FF0000"/>
          <w:sz w:val="32"/>
          <w:szCs w:val="32"/>
        </w:rPr>
      </w:pPr>
      <w:r>
        <w:rPr>
          <w:rFonts w:hint="eastAsia" w:ascii="黑体" w:hAnsi="黑体" w:eastAsia="黑体"/>
          <w:sz w:val="32"/>
          <w:szCs w:val="32"/>
        </w:rPr>
        <w:t>附件2</w:t>
      </w:r>
    </w:p>
    <w:p>
      <w:pPr>
        <w:rPr>
          <w:rFonts w:ascii="黑体" w:hAnsi="黑体" w:eastAsia="黑体"/>
          <w:color w:val="FF0000"/>
          <w:sz w:val="32"/>
          <w:szCs w:val="32"/>
        </w:rPr>
      </w:pPr>
    </w:p>
    <w:p>
      <w:pPr>
        <w:spacing w:before="140" w:after="140" w:line="480" w:lineRule="auto"/>
        <w:jc w:val="center"/>
        <w:rPr>
          <w:rFonts w:hint="eastAsia" w:asciiTheme="minorEastAsia" w:hAnsiTheme="minorEastAsia" w:eastAsiaTheme="minorEastAsia" w:cstheme="majorEastAsia"/>
          <w:sz w:val="44"/>
          <w:szCs w:val="44"/>
        </w:rPr>
      </w:pPr>
      <w:r>
        <w:rPr>
          <w:rFonts w:hint="eastAsia" w:asciiTheme="minorEastAsia" w:hAnsiTheme="minorEastAsia" w:eastAsiaTheme="minorEastAsia" w:cstheme="majorEastAsia"/>
          <w:sz w:val="44"/>
          <w:szCs w:val="44"/>
        </w:rPr>
        <w:t>关于部分不合格检验项目的小知识</w:t>
      </w:r>
    </w:p>
    <w:p>
      <w:pPr>
        <w:spacing w:before="140" w:after="140" w:line="480" w:lineRule="auto"/>
        <w:jc w:val="center"/>
        <w:rPr>
          <w:rFonts w:hint="eastAsia" w:asciiTheme="minorEastAsia" w:hAnsiTheme="minorEastAsia" w:eastAsiaTheme="minorEastAsia" w:cstheme="majorEastAsia"/>
          <w:sz w:val="44"/>
          <w:szCs w:val="44"/>
        </w:rPr>
      </w:pPr>
    </w:p>
    <w:p>
      <w:pPr>
        <w:spacing w:line="360" w:lineRule="auto"/>
        <w:ind w:firstLine="640" w:firstLineChars="200"/>
        <w:jc w:val="left"/>
        <w:rPr>
          <w:rFonts w:ascii="宋体" w:hAnsi="宋体" w:eastAsia="宋体"/>
          <w:b w:val="0"/>
          <w:bCs w:val="0"/>
          <w:sz w:val="32"/>
          <w:szCs w:val="32"/>
        </w:rPr>
      </w:pPr>
      <w:r>
        <w:rPr>
          <w:rFonts w:hint="eastAsia" w:ascii="黑体" w:hAnsi="黑体" w:eastAsia="黑体" w:cs="黑体"/>
          <w:kern w:val="0"/>
          <w:sz w:val="32"/>
          <w:szCs w:val="32"/>
        </w:rPr>
        <w:t>一、</w:t>
      </w:r>
      <w:r>
        <w:rPr>
          <w:rFonts w:hint="eastAsia" w:ascii="黑体" w:hAnsi="黑体" w:eastAsia="黑体" w:cs="黑体"/>
          <w:b w:val="0"/>
          <w:bCs w:val="0"/>
          <w:sz w:val="32"/>
          <w:szCs w:val="32"/>
        </w:rPr>
        <w:t>褪黑素</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褪黑素（又称为褪黑激素、美拉酮宁、抑黑素、松果腺素）是由哺乳动物和人类的松果体产生的一种胺类激素，能够使一种产生黑色素的细胞发亮，因而命名为褪黑素。它存在于从藻类到人类等众多生物中，含量水平随每天的时间变化。褪黑素能缩短睡前觉醒时间和入睡时间，改善睡眠质量，睡眠中觉醒次数明显减少，浅睡阶段短，深睡阶段延长，次日早晨唤醒阈值下降。因此，褪黑素被广泛应用与改善睡眠类保健食品中。</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功效成分/标志性成分不合格，主要原因可能是由于生产企业在生产保健食品过程中过少量添加具备标志性功效的成分，导致产品中功效成分/标志性成分过少，检测结果未达到标准要求，最终产品不合格。</w:t>
      </w:r>
    </w:p>
    <w:p>
      <w:pPr>
        <w:spacing w:line="360" w:lineRule="auto"/>
        <w:ind w:firstLine="643" w:firstLineChars="200"/>
        <w:jc w:val="left"/>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eastAsia="zh-CN"/>
        </w:rPr>
        <w:t>二、</w:t>
      </w:r>
      <w:r>
        <w:rPr>
          <w:rFonts w:hint="eastAsia" w:ascii="黑体" w:hAnsi="黑体" w:eastAsia="黑体" w:cs="黑体"/>
          <w:b w:val="0"/>
          <w:bCs w:val="0"/>
          <w:kern w:val="0"/>
          <w:sz w:val="32"/>
          <w:szCs w:val="32"/>
          <w:lang w:eastAsia="zh-CN"/>
        </w:rPr>
        <w:t>镉（以Cd计）</w:t>
      </w:r>
    </w:p>
    <w:p>
      <w:pPr>
        <w:spacing w:line="360" w:lineRule="auto"/>
        <w:ind w:firstLine="640" w:firstLineChars="200"/>
        <w:jc w:val="left"/>
        <w:rPr>
          <w:rFonts w:hint="eastAsia" w:ascii="黑体" w:hAnsi="黑体" w:eastAsia="黑体" w:cs="黑体"/>
          <w:b/>
          <w:bCs/>
          <w:kern w:val="0"/>
          <w:sz w:val="32"/>
          <w:szCs w:val="32"/>
          <w:lang w:eastAsia="zh-CN"/>
        </w:rPr>
      </w:pPr>
      <w:r>
        <w:rPr>
          <w:rFonts w:hint="eastAsia" w:ascii="仿宋" w:hAnsi="仿宋" w:eastAsia="仿宋" w:cs="仿宋"/>
          <w:sz w:val="32"/>
          <w:szCs w:val="32"/>
        </w:rPr>
        <w:t>镉是一种灰白色金属，不溶</w:t>
      </w:r>
      <w:r>
        <w:rPr>
          <w:rFonts w:hint="default" w:ascii="仿宋" w:hAnsi="仿宋" w:eastAsia="仿宋" w:cs="仿宋"/>
          <w:sz w:val="32"/>
          <w:szCs w:val="32"/>
        </w:rPr>
        <w:fldChar w:fldCharType="begin"/>
      </w:r>
      <w:r>
        <w:rPr>
          <w:rFonts w:hint="default" w:ascii="仿宋" w:hAnsi="仿宋" w:eastAsia="仿宋" w:cs="仿宋"/>
          <w:sz w:val="32"/>
          <w:szCs w:val="32"/>
        </w:rPr>
        <w:instrText xml:space="preserve"> HYPERLINK "http://www.so.com/s?q=%E4%BA%8E%E6%B0%B4&amp;ie=utf-8&amp;src=internal_wenda_recommend_textn" \t "https://wenda.so.com/q/_blank" </w:instrText>
      </w:r>
      <w:r>
        <w:rPr>
          <w:rFonts w:hint="default" w:ascii="仿宋" w:hAnsi="仿宋" w:eastAsia="仿宋" w:cs="仿宋"/>
          <w:sz w:val="32"/>
          <w:szCs w:val="32"/>
        </w:rPr>
        <w:fldChar w:fldCharType="separate"/>
      </w:r>
      <w:r>
        <w:rPr>
          <w:rFonts w:hint="default" w:ascii="仿宋" w:hAnsi="仿宋" w:eastAsia="仿宋" w:cs="仿宋"/>
          <w:sz w:val="32"/>
          <w:szCs w:val="32"/>
        </w:rPr>
        <w:t>于水</w:t>
      </w:r>
      <w:r>
        <w:rPr>
          <w:rFonts w:hint="default" w:ascii="仿宋" w:hAnsi="仿宋" w:eastAsia="仿宋" w:cs="仿宋"/>
          <w:sz w:val="32"/>
          <w:szCs w:val="32"/>
        </w:rPr>
        <w:fldChar w:fldCharType="end"/>
      </w:r>
      <w:r>
        <w:rPr>
          <w:rFonts w:hint="default" w:ascii="仿宋" w:hAnsi="仿宋" w:eastAsia="仿宋" w:cs="仿宋"/>
          <w:sz w:val="32"/>
          <w:szCs w:val="32"/>
        </w:rPr>
        <w:t>，</w:t>
      </w:r>
      <w:r>
        <w:rPr>
          <w:rFonts w:hint="eastAsia" w:ascii="仿宋" w:hAnsi="仿宋" w:eastAsia="仿宋" w:cs="仿宋"/>
          <w:sz w:val="32"/>
          <w:szCs w:val="32"/>
        </w:rPr>
        <w:t>金属镉毒性很低，但金属镉人化合物毒性很大。金属镉的化合物中，碳酸镉、氢氧化镉、硫化镉等均不溶于水，但硫酸镉、氯化镉和硝酸镉</w:t>
      </w:r>
      <w:r>
        <w:rPr>
          <w:rFonts w:hint="eastAsia" w:ascii="仿宋" w:hAnsi="仿宋" w:eastAsia="仿宋" w:cs="仿宋"/>
          <w:i w:val="0"/>
          <w:caps w:val="0"/>
          <w:color w:val="000000" w:themeColor="text1"/>
          <w:spacing w:val="0"/>
          <w:sz w:val="32"/>
          <w:szCs w:val="32"/>
          <w:shd w:val="clear" w:fill="FFFFFF"/>
        </w:rPr>
        <w:t>等都溶于水。金属镉在加热后易挥发,在空气中迅速氧化变为氧化镉。。人体的镉中毒一般主要是通过消化道与呼吸道摄取被镉污染的水、食物、空气而引起的。金属镉在人体积蓄作用，潜伏期很长，最长可以长达10〜30年。据报道，当水中金属镉的含量超过0.2mg/L时，居民长期饮水和从食物中摄取含镉物质，可引起“骨痛病”。动物实验表明，小白鼠最少致死景为50mg/kg,进入人体和温血动物的镉，主要累积在肝、肾、陕腺、甲状腺和骨骼中，使肾脏器官等发生</w:t>
      </w:r>
      <w:r>
        <w:rPr>
          <w:rFonts w:hint="eastAsia" w:ascii="仿宋" w:hAnsi="仿宋" w:eastAsia="仿宋" w:cs="仿宋"/>
          <w:i w:val="0"/>
          <w:caps w:val="0"/>
          <w:color w:val="000000" w:themeColor="text1"/>
          <w:spacing w:val="0"/>
          <w:sz w:val="32"/>
          <w:szCs w:val="32"/>
          <w:shd w:val="clear" w:fill="FFFFFF"/>
          <w:lang w:eastAsia="zh-CN"/>
        </w:rPr>
        <w:t>病变，并影响人的正常活动，造成贫血、高血压、神经痛、骨质松软、肾炎和分泌失调等病症。</w:t>
      </w:r>
    </w:p>
    <w:p>
      <w:pPr>
        <w:spacing w:line="360" w:lineRule="auto"/>
        <w:ind w:firstLine="640" w:firstLineChars="200"/>
        <w:jc w:val="left"/>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三、毒死蜱</w:t>
      </w:r>
    </w:p>
    <w:p>
      <w:pPr>
        <w:spacing w:line="360" w:lineRule="auto"/>
        <w:ind w:firstLine="640" w:firstLineChars="200"/>
        <w:jc w:val="left"/>
        <w:rPr>
          <w:rFonts w:hint="eastAsia" w:ascii="仿宋" w:hAnsi="仿宋" w:eastAsia="仿宋" w:cs="仿宋"/>
          <w:i w:val="0"/>
          <w:caps w:val="0"/>
          <w:color w:val="000000" w:themeColor="text1"/>
          <w:spacing w:val="0"/>
          <w:sz w:val="32"/>
          <w:szCs w:val="32"/>
          <w:shd w:val="clear" w:fill="FFFFFF"/>
          <w:lang w:eastAsia="zh-CN"/>
        </w:rPr>
      </w:pPr>
      <w:r>
        <w:rPr>
          <w:rFonts w:hint="eastAsia" w:ascii="仿宋" w:hAnsi="仿宋" w:eastAsia="仿宋" w:cs="仿宋"/>
          <w:i w:val="0"/>
          <w:caps w:val="0"/>
          <w:color w:val="000000" w:themeColor="text1"/>
          <w:spacing w:val="0"/>
          <w:sz w:val="32"/>
          <w:szCs w:val="32"/>
          <w:shd w:val="clear" w:fill="FFFFFF"/>
          <w:lang w:eastAsia="zh-CN"/>
        </w:rPr>
        <w:t>毒死蜱是一种常用的杀虫剂，与常规</w:t>
      </w:r>
      <w:r>
        <w:rPr>
          <w:rFonts w:hint="eastAsia" w:ascii="仿宋" w:hAnsi="仿宋" w:eastAsia="仿宋" w:cs="仿宋"/>
          <w:i w:val="0"/>
          <w:caps w:val="0"/>
          <w:color w:val="000000" w:themeColor="text1"/>
          <w:spacing w:val="0"/>
          <w:sz w:val="32"/>
          <w:szCs w:val="32"/>
          <w:shd w:val="clear" w:fill="FFFFFF"/>
          <w:lang w:eastAsia="zh-CN"/>
        </w:rPr>
        <w:fldChar w:fldCharType="begin"/>
      </w:r>
      <w:r>
        <w:rPr>
          <w:rFonts w:hint="eastAsia" w:ascii="仿宋" w:hAnsi="仿宋" w:eastAsia="仿宋" w:cs="仿宋"/>
          <w:i w:val="0"/>
          <w:caps w:val="0"/>
          <w:color w:val="000000" w:themeColor="text1"/>
          <w:spacing w:val="0"/>
          <w:sz w:val="32"/>
          <w:szCs w:val="32"/>
          <w:shd w:val="clear" w:fill="FFFFFF"/>
          <w:lang w:eastAsia="zh-CN"/>
        </w:rPr>
        <w:instrText xml:space="preserve"> HYPERLINK "http://www.agrichem.cn/" \t "http://www.agrichem.cn/news/2015/12/3/_blank" </w:instrText>
      </w:r>
      <w:r>
        <w:rPr>
          <w:rFonts w:hint="eastAsia" w:ascii="仿宋" w:hAnsi="仿宋" w:eastAsia="仿宋" w:cs="仿宋"/>
          <w:i w:val="0"/>
          <w:caps w:val="0"/>
          <w:color w:val="000000" w:themeColor="text1"/>
          <w:spacing w:val="0"/>
          <w:sz w:val="32"/>
          <w:szCs w:val="32"/>
          <w:shd w:val="clear" w:fill="FFFFFF"/>
          <w:lang w:eastAsia="zh-CN"/>
        </w:rPr>
        <w:fldChar w:fldCharType="separate"/>
      </w:r>
      <w:r>
        <w:rPr>
          <w:rFonts w:hint="eastAsia" w:ascii="仿宋" w:hAnsi="仿宋" w:eastAsia="仿宋" w:cs="仿宋"/>
          <w:i w:val="0"/>
          <w:caps w:val="0"/>
          <w:color w:val="000000" w:themeColor="text1"/>
          <w:spacing w:val="0"/>
          <w:sz w:val="32"/>
          <w:szCs w:val="32"/>
          <w:shd w:val="clear" w:fill="FFFFFF"/>
          <w:lang w:eastAsia="zh-CN"/>
        </w:rPr>
        <w:t>农药</w:t>
      </w:r>
      <w:r>
        <w:rPr>
          <w:rFonts w:hint="eastAsia" w:ascii="仿宋" w:hAnsi="仿宋" w:eastAsia="仿宋" w:cs="仿宋"/>
          <w:i w:val="0"/>
          <w:caps w:val="0"/>
          <w:color w:val="000000" w:themeColor="text1"/>
          <w:spacing w:val="0"/>
          <w:sz w:val="32"/>
          <w:szCs w:val="32"/>
          <w:shd w:val="clear" w:fill="FFFFFF"/>
          <w:lang w:eastAsia="zh-CN"/>
        </w:rPr>
        <w:fldChar w:fldCharType="end"/>
      </w:r>
      <w:r>
        <w:rPr>
          <w:rFonts w:hint="eastAsia" w:ascii="仿宋" w:hAnsi="仿宋" w:eastAsia="仿宋" w:cs="仿宋"/>
          <w:i w:val="0"/>
          <w:caps w:val="0"/>
          <w:color w:val="000000" w:themeColor="text1"/>
          <w:spacing w:val="0"/>
          <w:sz w:val="32"/>
          <w:szCs w:val="32"/>
          <w:shd w:val="clear" w:fill="FFFFFF"/>
          <w:lang w:eastAsia="zh-CN"/>
        </w:rPr>
        <w:t>相比毒性低，毒死蜱功效： ⒈ 具有胃毒、触杀、熏蒸三重作用，对水稻、棉花、果树、蔬菜、茶树上多种咀嚼式和刺吸式口器害虫均具有较好防效。 ⒉ 混用相容性好，可与多种杀虫剂混用且增效作用明显(如毒死蜱与三唑磷混用)。 ⒊ 与常规农药相比毒性低，对天敌安全，是替代高毒有机磷农药(如1605、甲胺磷、氧乐果等)的首选药剂。 ⒋ 杀虫谱广，易于土壤中的有机质结合，对地下害虫特效，持效期长达30天以上。 ⒌ 无内吸作用，保障农产品、消费者的安全，适用于无公害优质农产品的生产。 </w:t>
      </w:r>
    </w:p>
    <w:p>
      <w:pPr>
        <w:spacing w:line="360" w:lineRule="auto"/>
        <w:ind w:firstLine="640" w:firstLineChars="200"/>
        <w:jc w:val="left"/>
        <w:rPr>
          <w:rFonts w:hint="eastAsia" w:ascii="仿宋" w:hAnsi="仿宋" w:eastAsia="仿宋" w:cs="仿宋"/>
          <w:i w:val="0"/>
          <w:caps w:val="0"/>
          <w:color w:val="000000" w:themeColor="text1"/>
          <w:spacing w:val="0"/>
          <w:sz w:val="32"/>
          <w:szCs w:val="32"/>
          <w:shd w:val="clear" w:fill="FFFFFF"/>
          <w:lang w:eastAsia="zh-CN"/>
        </w:rPr>
      </w:pPr>
    </w:p>
    <w:p>
      <w:pPr>
        <w:spacing w:line="360" w:lineRule="auto"/>
        <w:ind w:firstLine="640" w:firstLineChars="200"/>
        <w:jc w:val="left"/>
        <w:rPr>
          <w:rFonts w:hint="eastAsia" w:ascii="黑体" w:hAnsi="黑体" w:eastAsia="黑体" w:cs="黑体"/>
          <w:b/>
          <w:bCs/>
          <w:kern w:val="0"/>
          <w:sz w:val="32"/>
          <w:szCs w:val="32"/>
          <w:lang w:eastAsia="zh-CN"/>
        </w:rPr>
      </w:pPr>
      <w:r>
        <w:rPr>
          <w:rFonts w:hint="eastAsia" w:ascii="黑体" w:hAnsi="黑体" w:eastAsia="黑体" w:cs="黑体"/>
          <w:b w:val="0"/>
          <w:bCs w:val="0"/>
          <w:kern w:val="0"/>
          <w:sz w:val="32"/>
          <w:szCs w:val="32"/>
          <w:lang w:eastAsia="zh-CN"/>
        </w:rPr>
        <w:t>四</w:t>
      </w:r>
      <w:r>
        <w:rPr>
          <w:rFonts w:hint="eastAsia" w:ascii="黑体" w:hAnsi="黑体" w:eastAsia="黑体" w:cs="黑体"/>
          <w:b/>
          <w:bCs/>
          <w:kern w:val="0"/>
          <w:sz w:val="32"/>
          <w:szCs w:val="32"/>
          <w:lang w:eastAsia="zh-CN"/>
        </w:rPr>
        <w:t>、</w:t>
      </w:r>
      <w:r>
        <w:rPr>
          <w:rFonts w:hint="eastAsia" w:ascii="黑体" w:hAnsi="黑体" w:eastAsia="黑体" w:cs="黑体"/>
          <w:b w:val="0"/>
          <w:bCs w:val="0"/>
          <w:kern w:val="0"/>
          <w:sz w:val="32"/>
          <w:szCs w:val="32"/>
          <w:lang w:eastAsia="zh-CN"/>
        </w:rPr>
        <w:t>氟苯尼考</w:t>
      </w:r>
    </w:p>
    <w:p>
      <w:pPr>
        <w:spacing w:line="360" w:lineRule="auto"/>
        <w:ind w:firstLine="640" w:firstLineChars="200"/>
        <w:jc w:val="left"/>
        <w:rPr>
          <w:rFonts w:hint="eastAsia" w:ascii="仿宋" w:hAnsi="仿宋" w:eastAsia="仿宋" w:cs="仿宋"/>
          <w:i w:val="0"/>
          <w:caps w:val="0"/>
          <w:color w:val="000000" w:themeColor="text1"/>
          <w:spacing w:val="0"/>
          <w:sz w:val="32"/>
          <w:szCs w:val="32"/>
          <w:shd w:val="clear" w:fill="FFFFFF"/>
        </w:rPr>
      </w:pPr>
      <w:r>
        <w:rPr>
          <w:rFonts w:hint="eastAsia" w:ascii="仿宋" w:hAnsi="仿宋" w:eastAsia="仿宋" w:cs="仿宋"/>
          <w:i w:val="0"/>
          <w:caps w:val="0"/>
          <w:color w:val="000000" w:themeColor="text1"/>
          <w:spacing w:val="0"/>
          <w:sz w:val="32"/>
          <w:szCs w:val="32"/>
          <w:shd w:val="clear" w:fill="FFFFFF"/>
          <w:lang w:eastAsia="zh-CN"/>
        </w:rPr>
        <w:t>氟苯尼考是一种新型酰胺醇类动物专用抗菌药，上世纪八十年代后期由美国公司成功研制，其抗菌谱广、杀菌作用强、疗效显著，尤其是无氯霉素类抗菌药潜在的致再生障碍性贫血作用，是治疗多杀巴氏杆菌、猪</w:t>
      </w:r>
      <w:r>
        <w:rPr>
          <w:rFonts w:hint="eastAsia" w:ascii="仿宋" w:hAnsi="仿宋" w:eastAsia="仿宋" w:cs="仿宋"/>
          <w:i w:val="0"/>
          <w:caps w:val="0"/>
          <w:color w:val="000000" w:themeColor="text1"/>
          <w:spacing w:val="0"/>
          <w:sz w:val="32"/>
          <w:szCs w:val="32"/>
          <w:shd w:val="clear" w:fill="FFFFFF"/>
        </w:rPr>
        <w:t>胸膜肺炎放线杆菌、大肠杆菌及伤寒沙门氏菌引起的各种感染的首选药物。我国已批准氟苯尼考用于猪、牛、鸡、鱼等动物的细菌性感染，其剂型有预混剂、粉剂、可溶性粉剂、溶液和注射液。但是，氟苯尼考在水中几乎不溶，极大地限制了该药的临床应用。</w:t>
      </w:r>
    </w:p>
    <w:p>
      <w:pPr>
        <w:pStyle w:val="10"/>
        <w:widowControl/>
        <w:numPr>
          <w:numId w:val="0"/>
        </w:numPr>
        <w:ind w:leftChars="0" w:firstLine="640" w:firstLineChars="200"/>
        <w:jc w:val="left"/>
        <w:rPr>
          <w:rFonts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阿维菌素</w:t>
      </w:r>
    </w:p>
    <w:p>
      <w:pPr>
        <w:spacing w:line="640" w:lineRule="exact"/>
        <w:ind w:firstLine="640" w:firstLineChars="200"/>
        <w:rPr>
          <w:rFonts w:ascii="仿宋" w:hAnsi="仿宋" w:eastAsia="仿宋"/>
          <w:sz w:val="32"/>
          <w:szCs w:val="32"/>
        </w:rPr>
      </w:pPr>
      <w:r>
        <w:rPr>
          <w:rFonts w:ascii="仿宋" w:hAnsi="仿宋" w:eastAsia="仿宋"/>
          <w:sz w:val="32"/>
          <w:szCs w:val="32"/>
        </w:rPr>
        <w:t>阿维菌素是一种被广泛使用的农用或兽用杀菌、杀虫、杀螨剂。也称阿灭丁。</w:t>
      </w:r>
      <w:r>
        <w:rPr>
          <w:rFonts w:hint="eastAsia" w:ascii="仿宋" w:hAnsi="仿宋" w:eastAsia="仿宋"/>
          <w:sz w:val="32"/>
          <w:szCs w:val="32"/>
        </w:rPr>
        <w:t>阿维菌素是一类</w:t>
      </w:r>
      <w:r>
        <w:rPr>
          <w:rFonts w:ascii="仿宋" w:hAnsi="仿宋" w:eastAsia="仿宋"/>
          <w:sz w:val="32"/>
          <w:szCs w:val="32"/>
        </w:rPr>
        <w:t>具有杀菌、杀虫、杀螨、杀线虫活性的十六元大环内酯化合物，由链霉菌中阿维链霉菌Streptomyces avermitilis发酵产生。阿维菌素对螨类和昆虫具有胃毒和触杀作用，不能杀卵。作用机制与一般杀虫剂不同的是干扰神经生理活动，刺激释放γ-氨基丁酸，而氨基丁酸对节肢动物的神经传导有抑制作用。螨类成虫、若虫和昆虫幼虫与阿维菌素接触后即出现麻痹症状，不活动、不取食，2～4天后死亡。因不引起昆虫迅速脱水，所以阿维菌素致死作用较缓慢。阿维菌素对捕食性昆虫和寄生天敌虽有直接触杀作用，但因植物表面残留少，因此对益虫的损伤很小。据中国农药毒性分级标准，阿维菌素属高毒杀虫剂。</w:t>
      </w:r>
    </w:p>
    <w:p>
      <w:pPr>
        <w:pStyle w:val="10"/>
        <w:widowControl/>
        <w:numPr>
          <w:ilvl w:val="0"/>
          <w:numId w:val="0"/>
        </w:numPr>
        <w:ind w:leftChars="0" w:firstLine="640" w:firstLineChars="200"/>
        <w:jc w:val="left"/>
        <w:rPr>
          <w:rFonts w:ascii="黑体" w:hAnsi="黑体" w:eastAsia="黑体" w:cs="黑体"/>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挥发性盐基氮</w:t>
      </w:r>
    </w:p>
    <w:p>
      <w:pPr>
        <w:spacing w:line="640" w:lineRule="exact"/>
        <w:ind w:firstLine="640" w:firstLineChars="200"/>
        <w:rPr>
          <w:rFonts w:ascii="仿宋" w:hAnsi="仿宋" w:eastAsia="仿宋"/>
          <w:sz w:val="32"/>
          <w:szCs w:val="32"/>
        </w:rPr>
      </w:pPr>
      <w:r>
        <w:rPr>
          <w:rFonts w:ascii="仿宋" w:hAnsi="仿宋" w:eastAsia="仿宋"/>
          <w:sz w:val="32"/>
          <w:szCs w:val="32"/>
        </w:rPr>
        <w:t>挥发性盐基氮（TVB-N）指动物性食品由于酶和细菌的作用，在腐败过程中，使蛋白质分解而产生氨以及胺类等碱性含氮物质。此类物质具有挥发性，其含量越高，表明氨基酸被破坏的越多，特别是蛋氨酸和酪氨酸，因此营养价值大受影响。是反映原料鱼和肉的鲜度的主要指标。</w:t>
      </w:r>
    </w:p>
    <w:p>
      <w:pPr>
        <w:pStyle w:val="10"/>
        <w:widowControl/>
        <w:numPr>
          <w:numId w:val="0"/>
        </w:numPr>
        <w:ind w:leftChars="0" w:firstLine="640" w:firstLineChars="200"/>
        <w:jc w:val="left"/>
        <w:rPr>
          <w:rFonts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氧乐果</w:t>
      </w:r>
    </w:p>
    <w:p>
      <w:pPr>
        <w:spacing w:line="640" w:lineRule="exact"/>
        <w:ind w:firstLine="640" w:firstLineChars="200"/>
        <w:rPr>
          <w:rFonts w:ascii="仿宋" w:hAnsi="仿宋" w:eastAsia="仿宋"/>
          <w:sz w:val="32"/>
          <w:szCs w:val="32"/>
        </w:rPr>
      </w:pPr>
      <w:r>
        <w:rPr>
          <w:rFonts w:ascii="仿宋" w:hAnsi="仿宋" w:eastAsia="仿宋"/>
          <w:sz w:val="32"/>
          <w:szCs w:val="32"/>
        </w:rPr>
        <w:t>氧化乐果又名氧乐果。化学名，O,O-二甲基-S-[2-（甲胺基）-2-氧代乙基]硫代磷酸酯是我国的限用农药之一。氧化乐果对害虫和螨类有很强的触杀作用，尤其对一些已经对乐果产生抗药性地蚜虫，毒力较高，在低温期仍能保持较强的毒性。主要用于防治香蕉多种蚜虫、卷叶虫、斜纹夜蛾、花蓟马和网蝽等的良好药剂，低温期氧化乐果的杀虫作用表现比乐果快。氧化乐果还有很强的内吸杀虫作用，可以被植株的茎、叶吸进植株体内，并可传送到未喷到药液部，而使在上面危害的害虫中毒死亡。因此，在使用氧化乐果时，可以采用涂茎的方法施药。一般情况下，温度的高低对氧化乐果药效的影响较小。氧化乐果属于高毒农药，但它不易从皮肤渗透进入人体，与乐果的接触毒性差异不大。</w:t>
      </w:r>
    </w:p>
    <w:p>
      <w:pPr>
        <w:pStyle w:val="10"/>
        <w:widowControl/>
        <w:numPr>
          <w:numId w:val="0"/>
        </w:numPr>
        <w:ind w:leftChars="0" w:firstLine="640" w:firstLineChars="200"/>
        <w:jc w:val="left"/>
        <w:rPr>
          <w:rFonts w:ascii="黑体" w:hAnsi="黑体" w:eastAsia="黑体" w:cs="黑体"/>
          <w:kern w:val="0"/>
          <w:sz w:val="32"/>
          <w:szCs w:val="32"/>
        </w:rPr>
      </w:pPr>
      <w:r>
        <w:rPr>
          <w:rFonts w:hint="eastAsia" w:ascii="黑体" w:hAnsi="黑体" w:eastAsia="黑体" w:cs="黑体"/>
          <w:kern w:val="0"/>
          <w:sz w:val="32"/>
          <w:szCs w:val="32"/>
          <w:lang w:eastAsia="zh-CN"/>
        </w:rPr>
        <w:t>八</w:t>
      </w:r>
      <w:bookmarkStart w:id="0" w:name="_GoBack"/>
      <w:bookmarkEnd w:id="0"/>
      <w:r>
        <w:rPr>
          <w:rFonts w:hint="eastAsia" w:ascii="黑体" w:hAnsi="黑体" w:eastAsia="黑体" w:cs="黑体"/>
          <w:kern w:val="0"/>
          <w:sz w:val="32"/>
          <w:szCs w:val="32"/>
          <w:lang w:eastAsia="zh-CN"/>
        </w:rPr>
        <w:t>、</w:t>
      </w:r>
      <w:r>
        <w:rPr>
          <w:rFonts w:hint="eastAsia" w:ascii="黑体" w:hAnsi="黑体" w:eastAsia="黑体" w:cs="黑体"/>
          <w:kern w:val="0"/>
          <w:sz w:val="32"/>
          <w:szCs w:val="32"/>
        </w:rPr>
        <w:t>乙酰甲胺磷</w:t>
      </w:r>
    </w:p>
    <w:p>
      <w:pPr>
        <w:spacing w:line="640" w:lineRule="exact"/>
        <w:ind w:firstLine="640" w:firstLineChars="200"/>
        <w:rPr>
          <w:rFonts w:ascii="仿宋" w:hAnsi="仿宋" w:eastAsia="仿宋"/>
          <w:sz w:val="32"/>
          <w:szCs w:val="32"/>
        </w:rPr>
      </w:pPr>
      <w:r>
        <w:rPr>
          <w:rFonts w:ascii="仿宋" w:hAnsi="仿宋" w:eastAsia="仿宋"/>
          <w:sz w:val="32"/>
          <w:szCs w:val="32"/>
        </w:rPr>
        <w:t>乙酰甲胺磷（Acephate）又名高灭磷，属低毒杀虫剂。乙酰甲胺磷为内吸杀虫剂，具有胃毒和触杀作用，并可杀卵，有一定的熏蒸作用，是缓效型杀虫剂，适用于蔬菜、茶树、烟草、果树、棉花、水稻、小麦、油菜等作物，防治多种咀嚼式、刺吸式口器害虫和害螨及卫生害虫。保管及使用不当可引起人畜中毒</w:t>
      </w:r>
      <w:r>
        <w:rPr>
          <w:rFonts w:hint="eastAsia" w:ascii="仿宋" w:hAnsi="仿宋" w:eastAsia="仿宋"/>
          <w:sz w:val="32"/>
          <w:szCs w:val="32"/>
        </w:rPr>
        <w:t>。乙酰甲胺磷</w:t>
      </w:r>
      <w:r>
        <w:rPr>
          <w:rFonts w:ascii="仿宋" w:hAnsi="仿宋" w:eastAsia="仿宋"/>
          <w:sz w:val="32"/>
          <w:szCs w:val="32"/>
        </w:rPr>
        <w:t>属有机磷酸酯类农药。该类农药抑制体内胆碱酯酶，造成神经生理功能紊乱。有机磷农药急性中毒系误服引起。中毒表现有头痛、头昏、食欲减退、恶心、呕吐、腹痛、腹泻、流涎、瞳孔缩小、呼吸道分泌物增多、多汗、肌束震颤等。重症出现肺水肿、昏迷、呼吸麻痹、脑水肿，少数重度中毒者在临床症状消失后数周出现神经病。接触有机磷农药工人可有头晕、头痛、无力、失眠、多汗、四肢麻木、肌肉跳动等。血胆碱酯酶活性降低。</w:t>
      </w:r>
    </w:p>
    <w:p>
      <w:pPr>
        <w:spacing w:line="640" w:lineRule="exact"/>
        <w:ind w:firstLine="640" w:firstLineChars="200"/>
        <w:rPr>
          <w:rFonts w:hint="eastAsia" w:ascii="仿宋" w:hAnsi="仿宋" w:eastAsia="仿宋" w:cs="仿宋"/>
          <w:i w:val="0"/>
          <w:caps w:val="0"/>
          <w:color w:val="000000" w:themeColor="text1"/>
          <w:spacing w:val="0"/>
          <w:sz w:val="32"/>
          <w:szCs w:val="32"/>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A7E36"/>
    <w:rsid w:val="00007B3B"/>
    <w:rsid w:val="0004237F"/>
    <w:rsid w:val="000D5773"/>
    <w:rsid w:val="00134C4A"/>
    <w:rsid w:val="001434AB"/>
    <w:rsid w:val="00150C1B"/>
    <w:rsid w:val="001511C0"/>
    <w:rsid w:val="00175096"/>
    <w:rsid w:val="001A3767"/>
    <w:rsid w:val="001B6D3F"/>
    <w:rsid w:val="002359ED"/>
    <w:rsid w:val="00263010"/>
    <w:rsid w:val="00287EA4"/>
    <w:rsid w:val="00296224"/>
    <w:rsid w:val="002E1677"/>
    <w:rsid w:val="00350CC2"/>
    <w:rsid w:val="00365E86"/>
    <w:rsid w:val="004F7B49"/>
    <w:rsid w:val="00513B11"/>
    <w:rsid w:val="00563854"/>
    <w:rsid w:val="0059403E"/>
    <w:rsid w:val="005B6AAE"/>
    <w:rsid w:val="005C47FC"/>
    <w:rsid w:val="0081587C"/>
    <w:rsid w:val="008701FA"/>
    <w:rsid w:val="00980838"/>
    <w:rsid w:val="00A413C8"/>
    <w:rsid w:val="00A414F5"/>
    <w:rsid w:val="00A44B9B"/>
    <w:rsid w:val="00A62DA6"/>
    <w:rsid w:val="00A73FE3"/>
    <w:rsid w:val="00A86C34"/>
    <w:rsid w:val="00B07429"/>
    <w:rsid w:val="00B517D0"/>
    <w:rsid w:val="00B9733F"/>
    <w:rsid w:val="00CB3864"/>
    <w:rsid w:val="00D12E1E"/>
    <w:rsid w:val="00D72AC0"/>
    <w:rsid w:val="00D761C9"/>
    <w:rsid w:val="00DA7E36"/>
    <w:rsid w:val="00EE2FB9"/>
    <w:rsid w:val="00EF1189"/>
    <w:rsid w:val="00F8227F"/>
    <w:rsid w:val="00FA2C86"/>
    <w:rsid w:val="011D5177"/>
    <w:rsid w:val="023E2F40"/>
    <w:rsid w:val="028B4EFC"/>
    <w:rsid w:val="04220006"/>
    <w:rsid w:val="055F092C"/>
    <w:rsid w:val="05B77019"/>
    <w:rsid w:val="063A1DEA"/>
    <w:rsid w:val="09AA0280"/>
    <w:rsid w:val="0F615AEB"/>
    <w:rsid w:val="10C8728E"/>
    <w:rsid w:val="12EE6F06"/>
    <w:rsid w:val="13087BAE"/>
    <w:rsid w:val="176B0307"/>
    <w:rsid w:val="1B851F7B"/>
    <w:rsid w:val="1EFA5E73"/>
    <w:rsid w:val="23921B40"/>
    <w:rsid w:val="247352E0"/>
    <w:rsid w:val="24C85C25"/>
    <w:rsid w:val="29132243"/>
    <w:rsid w:val="2D006C3A"/>
    <w:rsid w:val="39C66D6D"/>
    <w:rsid w:val="3B4D506C"/>
    <w:rsid w:val="47607C54"/>
    <w:rsid w:val="4D390E49"/>
    <w:rsid w:val="4F9A3C7D"/>
    <w:rsid w:val="53791738"/>
    <w:rsid w:val="53E76EEA"/>
    <w:rsid w:val="554245C7"/>
    <w:rsid w:val="5572574D"/>
    <w:rsid w:val="59B573DC"/>
    <w:rsid w:val="5B5B713F"/>
    <w:rsid w:val="5E1F087B"/>
    <w:rsid w:val="6239665E"/>
    <w:rsid w:val="62AC0F86"/>
    <w:rsid w:val="662E6F09"/>
    <w:rsid w:val="6AC41F13"/>
    <w:rsid w:val="6BDF4AC3"/>
    <w:rsid w:val="6F324FA7"/>
    <w:rsid w:val="70545421"/>
    <w:rsid w:val="70E5696D"/>
    <w:rsid w:val="76856093"/>
    <w:rsid w:val="79CB5965"/>
    <w:rsid w:val="7B744E6E"/>
    <w:rsid w:val="7DBB2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PingFang SC" w:hAnsi="PingFang SC" w:eastAsia="PingFang SC"/>
      <w:kern w:val="0"/>
      <w:sz w:val="24"/>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Words>
  <Characters>534</Characters>
  <Lines>4</Lines>
  <Paragraphs>1</Paragraphs>
  <TotalTime>0</TotalTime>
  <ScaleCrop>false</ScaleCrop>
  <LinksUpToDate>false</LinksUpToDate>
  <CharactersWithSpaces>626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红豆 </cp:lastModifiedBy>
  <dcterms:modified xsi:type="dcterms:W3CDTF">2020-07-21T00:49:46Z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