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9"/>
        </w:tabs>
        <w:spacing w:beforeLines="0" w:afterLines="0" w:line="59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广东省药品监督管理局</w:t>
      </w:r>
    </w:p>
    <w:p>
      <w:pPr>
        <w:tabs>
          <w:tab w:val="left" w:pos="1279"/>
        </w:tabs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行政处罚决定书</w:t>
      </w:r>
    </w:p>
    <w:p>
      <w:pPr>
        <w:pStyle w:val="2"/>
        <w:tabs>
          <w:tab w:val="left" w:pos="319"/>
          <w:tab w:val="left" w:pos="1486"/>
          <w:tab w:val="left" w:pos="2353"/>
          <w:tab w:val="left" w:pos="3199"/>
        </w:tabs>
        <w:spacing w:before="0" w:beforeLines="0" w:afterLines="0" w:line="590" w:lineRule="exact"/>
        <w:ind w:left="0"/>
        <w:jc w:val="center"/>
        <w:rPr>
          <w:rFonts w:hint="eastAsia" w:ascii="仿宋" w:hAnsi="仿宋" w:eastAsia="仿宋" w:cs="仿宋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  <w:u w:val="none" w:color="auto"/>
          <w:lang w:eastAsia="zh-CN"/>
        </w:rPr>
        <w:t>粤药监械罚〔</w:t>
      </w:r>
      <w:r>
        <w:rPr>
          <w:rFonts w:hint="eastAsia" w:ascii="仿宋" w:hAnsi="仿宋" w:eastAsia="仿宋" w:cs="仿宋"/>
          <w:color w:val="000000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u w:val="none" w:color="auto"/>
          <w:lang w:eastAsia="zh-CN"/>
        </w:rPr>
        <w:t>〕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3012</w:t>
      </w:r>
      <w:r>
        <w:rPr>
          <w:rFonts w:hint="eastAsia" w:ascii="仿宋" w:hAnsi="仿宋" w:eastAsia="仿宋" w:cs="仿宋"/>
          <w:color w:val="000000"/>
          <w:lang w:eastAsia="zh-CN"/>
        </w:rPr>
        <w:t>号</w:t>
      </w:r>
    </w:p>
    <w:p>
      <w:pPr>
        <w:spacing w:before="0" w:beforeLines="0" w:afterLines="0" w:line="500" w:lineRule="exact"/>
        <w:rPr>
          <w:rFonts w:hint="eastAsia" w:ascii="仿宋" w:hAnsi="仿宋" w:cs="仿宋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u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当事人：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东莞市协和医疗器械科技有限公司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u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eastAsia="zh-CN"/>
        </w:rPr>
        <w:t>主体</w:t>
      </w: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资格证照名称：《营业执照》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default" w:ascii="仿宋" w:hAnsi="仿宋" w:eastAsia="仿宋" w:cs="仿宋"/>
          <w:color w:val="000000"/>
          <w:u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统一社会信用代码：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91441900</w:t>
      </w:r>
      <w:r>
        <w:rPr>
          <w:rFonts w:hint="eastAsia" w:ascii="仿宋" w:hAnsi="仿宋" w:cs="仿宋"/>
          <w:color w:val="000000"/>
          <w:u w:val="none" w:color="auto"/>
          <w:lang w:val="en-US" w:eastAsia="zh-CN"/>
        </w:rPr>
        <w:t>557293517U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cs="仿宋"/>
          <w:color w:val="00000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住所（住址）：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东莞市万江区新村区卢屋工业区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u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法定代表人：</w:t>
      </w:r>
      <w:r>
        <w:rPr>
          <w:rFonts w:hint="eastAsia" w:ascii="仿宋" w:hAnsi="仿宋" w:eastAsia="仿宋" w:cs="仿宋"/>
          <w:color w:val="000000"/>
          <w:spacing w:val="0"/>
          <w:u w:color="auto"/>
          <w:lang w:val="en-US" w:eastAsia="zh-CN"/>
        </w:rPr>
        <w:t>卢伟雄</w:t>
      </w: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u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被委托人：</w:t>
      </w:r>
      <w:r>
        <w:rPr>
          <w:rFonts w:hint="eastAsia" w:ascii="仿宋" w:hAnsi="仿宋" w:eastAsia="仿宋" w:cs="仿宋"/>
          <w:color w:val="000000"/>
          <w:spacing w:val="0"/>
          <w:u w:color="auto"/>
          <w:lang w:val="en-US" w:eastAsia="zh-CN"/>
        </w:rPr>
        <w:t xml:space="preserve">李英祥  </w:t>
      </w: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u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联系电话：137********8     其他联系方式：/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0"/>
          <w:tab w:val="left" w:pos="8920"/>
        </w:tabs>
        <w:kinsoku/>
        <w:overflowPunct/>
        <w:topLinePunct w:val="0"/>
        <w:autoSpaceDE/>
        <w:autoSpaceDN/>
        <w:bidi w:val="0"/>
        <w:snapToGrid/>
        <w:spacing w:beforeLines="0" w:afterLines="0" w:line="56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000000"/>
          <w:u w:color="auto"/>
          <w:lang w:eastAsia="zh-CN"/>
        </w:rPr>
      </w:pPr>
      <w:r>
        <w:rPr>
          <w:rFonts w:hint="eastAsia" w:ascii="仿宋" w:hAnsi="仿宋" w:eastAsia="仿宋" w:cs="仿宋"/>
          <w:color w:val="000000"/>
          <w:u w:color="auto"/>
          <w:lang w:val="en-US" w:eastAsia="zh-CN"/>
        </w:rPr>
        <w:t>联系地址：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东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 xml:space="preserve">莞市万江区新村区卢屋工业区   </w:t>
      </w:r>
      <w:r>
        <w:rPr>
          <w:rFonts w:hint="eastAsia" w:ascii="仿宋" w:hAnsi="仿宋" w:eastAsia="仿宋" w:cs="仿宋"/>
          <w:color w:val="000000"/>
          <w:spacing w:val="0"/>
          <w:u w:color="auto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在东莞市市场监督管理局日常监督检查工作中，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当事人生产的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u w:val="none" w:color="auto"/>
          <w:lang w:val="en-US" w:eastAsia="zh-CN" w:bidi="ar-SA"/>
        </w:rPr>
        <w:t>医用退热贴（内包装袋上标识黄道益®、委托方：深圳黄道益健康产品有限公司等信息）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涉嫌标签标识不符合规定。执法人员2020年4月</w:t>
      </w:r>
      <w:r>
        <w:rPr>
          <w:rFonts w:hint="eastAsia" w:ascii="仿宋" w:hAnsi="仿宋" w:cs="仿宋"/>
          <w:color w:val="000000"/>
          <w:u w:val="none" w:color="auto"/>
          <w:lang w:val="en-US" w:eastAsia="zh-CN"/>
        </w:rPr>
        <w:t>15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日到达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东莞市协和医疗器械科技有限公司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检查，</w:t>
      </w:r>
      <w:r>
        <w:rPr>
          <w:rFonts w:hint="eastAsia" w:ascii="仿宋" w:hAnsi="仿宋" w:eastAsia="仿宋" w:cs="仿宋"/>
          <w:color w:val="000000"/>
          <w:spacing w:val="0"/>
          <w:u w:color="auto"/>
          <w:lang w:val="en-US" w:eastAsia="zh-CN"/>
        </w:rPr>
        <w:t>并对企业的生产场所进行现场检查，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u w:val="none" w:color="auto"/>
          <w:lang w:val="en-US" w:eastAsia="zh-CN" w:bidi="ar-SA"/>
        </w:rPr>
        <w:t>现场检查未发现上述标签不合格的医用退热贴。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我局对此进行立案调查。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经调查，当事人生产的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u w:val="none" w:color="auto"/>
          <w:lang w:val="en-US" w:eastAsia="zh-CN" w:bidi="ar-SA"/>
        </w:rPr>
        <w:t>医用退热贴（内包装袋上标识黄道益®、委托方：深圳黄道益健康产品有限公司等信息）的内包装袋上标签缺少备案人住所、备案人联系方式等信息，产品的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标签标识不符合规定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。上述产品共生产了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3300盒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32"/>
          <w:szCs w:val="32"/>
          <w:u w:val="none" w:color="auto"/>
          <w:lang w:val="en-US" w:eastAsia="zh-CN" w:bidi="ar-SA"/>
        </w:rPr>
        <w:t>无库存，销售单价为1.45元，总货值为4785元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。上述事实，主要有以下证据证明：1.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u w:val="none" w:color="auto"/>
          <w:lang w:val="en-US" w:eastAsia="zh-CN" w:bidi="ar-SA"/>
        </w:rPr>
        <w:t>李英祥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的询问调查笔录。2.当事人的生产记录、入库登记表、成品抽检记录、商标使用授权委托书、出库记录表等相关记录。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我局在作出本行政处罚决定前，已于2020年6月15日将《行政处罚告知书》（粤药监稽械罚告〔2020〕3030号）送达给当事人，告知其拟作出行政处罚决定的事实、理由及依据，并告知当事人依法享有陈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述权、申辩权等权利。当事人没有在规定期限内提出陈述、申辩。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当事人生产的</w:t>
      </w:r>
      <w:r>
        <w:rPr>
          <w:rFonts w:hint="eastAsia" w:ascii="仿宋" w:hAnsi="仿宋" w:eastAsia="仿宋" w:cs="仿宋"/>
          <w:color w:val="auto"/>
          <w:kern w:val="2"/>
          <w:sz w:val="32"/>
          <w:szCs w:val="22"/>
          <w:u w:val="none" w:color="auto"/>
          <w:lang w:val="en-US" w:eastAsia="zh-CN" w:bidi="ar-SA"/>
        </w:rPr>
        <w:t>医用退热贴（内包装袋上标识黄道益®、委托方：深圳黄道益健康产品有限公司等信息）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，最小销售单元的包装上未标识备案人住所、备案人联系方式等信息，其余受委托方的生产企业的各项信息完整。当事人不具有从轻从重情形，根据</w:t>
      </w:r>
      <w:bookmarkStart w:id="0" w:name="OLE_LINK3"/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《广东省食品药品监督管理局规范行政处罚自由裁量权适用规则》第十条</w:t>
      </w:r>
      <w:bookmarkEnd w:id="0"/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的规定，依法给予一般处罚。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当事人生产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>标签标识不符合要求的</w:t>
      </w:r>
      <w:r>
        <w:rPr>
          <w:rFonts w:hint="eastAsia" w:ascii="仿宋" w:hAnsi="仿宋" w:eastAsia="仿宋"/>
          <w:sz w:val="32"/>
          <w:szCs w:val="32"/>
        </w:rPr>
        <w:t>医疗器械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行为，</w:t>
      </w: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 xml:space="preserve">违反了《医疗器械说明书和标签管理规定》第十三条第(四)项“生产企业的名称、住所、生产地址、联系方式及生产许可证编号或者生产备案凭证编号，委托生产的还应当标注受托企业的名称、住所、生产地址、联系方式及生产许可证编号或者生产备案凭证编号”的规定。       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auto"/>
          <w:u w:val="none" w:color="auto"/>
          <w:lang w:val="en-US" w:eastAsia="zh-CN"/>
        </w:rPr>
        <w:t xml:space="preserve">依据《医疗器械说明书和标签管理规定》第十八条“说明书和标签不符合本规定要求的，由县级以上食品药品监督管理部门按照《医疗器械监督管理条例》第六十七条的规定予以处罚”和《医疗器械监督管理条例》第六十七条第（二）项“有下列情形之一的，由县级以上人民政府食品药品监督管理部门责令改正，处1万元以上3万元以下罚款；情节严重的，责令停产停业，直至由原发证部门吊销医疗器械生产许可证、医疗器械经营许可证：（二）生产、经营说明书、标签不符合本条例规定的医疗器械的”和《广东省食品药品监督管理局规范行政处罚自由裁量权适用规则》第十条“当事人违法行为不具有从重处罚、从轻或者减轻行政处罚、不予行政处罚等情形，在法定处罚幅度中限依法给予一般处罚”的规定，现对当事人给予罚款20000元的行政处罚。 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 xml:space="preserve">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>当事人如不服本行政处罚决定，可以在收到本行政处罚决定书之日起60日内向广东省人民政府或者向国家药品监督管理局申请行政复议；也可以在六个月内依法向广州铁路运输法院提起行政诉讼。申请行政复议或者提起行政诉讼期间，行政处罚不停止执行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003"/>
        </w:tabs>
        <w:kinsoku/>
        <w:wordWrap/>
        <w:overflowPunct/>
        <w:topLinePunct w:val="0"/>
        <w:autoSpaceDE/>
        <w:autoSpaceDN/>
        <w:bidi w:val="0"/>
        <w:snapToGrid/>
        <w:spacing w:beforeLines="0" w:afterLines="0" w:line="460" w:lineRule="exact"/>
        <w:ind w:left="0"/>
        <w:jc w:val="both"/>
        <w:textAlignment w:val="auto"/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003"/>
        </w:tabs>
        <w:kinsoku/>
        <w:wordWrap w:val="0"/>
        <w:overflowPunct/>
        <w:topLinePunct w:val="0"/>
        <w:autoSpaceDE/>
        <w:autoSpaceDN/>
        <w:bidi w:val="0"/>
        <w:snapToGrid/>
        <w:spacing w:beforeLines="0" w:afterLines="0" w:line="460" w:lineRule="exact"/>
        <w:ind w:left="0"/>
        <w:jc w:val="right"/>
        <w:textAlignment w:val="auto"/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003"/>
        </w:tabs>
        <w:kinsoku/>
        <w:wordWrap/>
        <w:overflowPunct/>
        <w:topLinePunct w:val="0"/>
        <w:autoSpaceDE/>
        <w:autoSpaceDN/>
        <w:bidi w:val="0"/>
        <w:snapToGrid/>
        <w:spacing w:beforeLines="0" w:afterLines="0" w:line="460" w:lineRule="exact"/>
        <w:ind w:firstLine="3200" w:firstLineChars="1000"/>
        <w:jc w:val="both"/>
        <w:textAlignment w:val="auto"/>
        <w:rPr>
          <w:rFonts w:hint="eastAsia" w:ascii="仿宋" w:hAnsi="仿宋" w:eastAsia="仿宋" w:cs="仿宋"/>
          <w:color w:val="000000"/>
          <w:u w:val="none" w:color="auto"/>
          <w:lang w:eastAsia="zh-CN"/>
        </w:rPr>
      </w:pP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u w:val="none" w:color="auto"/>
          <w:lang w:eastAsia="zh-CN"/>
        </w:rPr>
        <w:t>广东省药品监督管理局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pacing w:val="0"/>
          <w:u w:val="none" w:color="auto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083"/>
          <w:tab w:val="left" w:pos="6043"/>
        </w:tabs>
        <w:kinsoku/>
        <w:overflowPunct/>
        <w:topLinePunct w:val="0"/>
        <w:autoSpaceDE/>
        <w:autoSpaceDN/>
        <w:bidi w:val="0"/>
        <w:snapToGrid/>
        <w:spacing w:before="0" w:beforeLines="0" w:afterLines="0" w:line="460" w:lineRule="exact"/>
        <w:ind w:left="0" w:right="1280" w:rightChars="400"/>
        <w:jc w:val="right"/>
        <w:textAlignment w:val="auto"/>
        <w:rPr>
          <w:rFonts w:hint="eastAsia" w:ascii="仿宋" w:hAnsi="仿宋" w:eastAsia="仿宋" w:cs="仿宋"/>
          <w:color w:val="000000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2020</w:t>
      </w:r>
      <w:r>
        <w:rPr>
          <w:rFonts w:hint="eastAsia" w:ascii="仿宋" w:hAnsi="仿宋" w:eastAsia="仿宋" w:cs="仿宋"/>
          <w:color w:val="000000"/>
          <w:u w:val="none" w:color="auto"/>
          <w:lang w:eastAsia="zh-CN"/>
        </w:rPr>
        <w:t xml:space="preserve">年 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u w:val="none" w:color="auto"/>
          <w:lang w:eastAsia="zh-CN"/>
        </w:rPr>
        <w:t xml:space="preserve">月 </w:t>
      </w:r>
      <w:r>
        <w:rPr>
          <w:rFonts w:hint="eastAsia" w:ascii="仿宋" w:hAnsi="仿宋" w:eastAsia="仿宋" w:cs="仿宋"/>
          <w:color w:val="000000"/>
          <w:u w:val="none" w:color="auto"/>
          <w:lang w:val="en-US" w:eastAsia="zh-CN"/>
        </w:rPr>
        <w:t>30</w:t>
      </w:r>
      <w:bookmarkStart w:id="1" w:name="_GoBack"/>
      <w:bookmarkEnd w:id="1"/>
      <w:r>
        <w:rPr>
          <w:rFonts w:hint="eastAsia" w:ascii="仿宋" w:hAnsi="仿宋" w:eastAsia="仿宋" w:cs="仿宋"/>
          <w:color w:val="000000"/>
          <w:u w:val="none" w:color="auto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color w:val="000000"/>
          <w:spacing w:val="0"/>
          <w:w w:val="90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color w:val="000000"/>
          <w:spacing w:val="0"/>
          <w:w w:val="90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color w:val="000000"/>
          <w:spacing w:val="0"/>
          <w:w w:val="90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napToGrid w:val="0"/>
          <w:color w:val="000000"/>
          <w:spacing w:val="0"/>
          <w:w w:val="90"/>
          <w:sz w:val="30"/>
          <w:szCs w:val="30"/>
          <w:lang w:eastAsia="zh-CN"/>
        </w:rPr>
      </w:pPr>
    </w:p>
    <w:tbl>
      <w:tblPr>
        <w:tblStyle w:val="5"/>
        <w:tblpPr w:leftFromText="180" w:rightFromText="180" w:vertAnchor="text" w:horzAnchor="page" w:tblpX="2027" w:tblpY="799"/>
        <w:tblOverlap w:val="never"/>
        <w:tblW w:w="910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本文书一式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份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份送达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一份归档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 w:color="auto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 w:color="231F20"/>
                <w:lang w:eastAsia="zh-CN"/>
              </w:rPr>
              <w:t>一份备查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" w:hAnsi="仿宋" w:eastAsia="仿宋" w:cs="仿宋"/>
          <w:snapToGrid w:val="0"/>
          <w:color w:val="000000"/>
          <w:spacing w:val="0"/>
          <w:w w:val="9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napToGrid w:val="0"/>
          <w:color w:val="000000"/>
          <w:w w:val="90"/>
          <w:sz w:val="30"/>
          <w:szCs w:val="30"/>
          <w:lang w:eastAsia="zh-CN"/>
        </w:rPr>
        <w:t>广东省药品监督管理局</w:t>
      </w:r>
      <w:r>
        <w:rPr>
          <w:rFonts w:hint="eastAsia" w:ascii="仿宋" w:hAnsi="仿宋" w:eastAsia="仿宋" w:cs="仿宋"/>
          <w:snapToGrid w:val="0"/>
          <w:color w:val="000000"/>
          <w:spacing w:val="0"/>
          <w:w w:val="90"/>
          <w:sz w:val="30"/>
          <w:szCs w:val="30"/>
          <w:lang w:eastAsia="zh-CN"/>
        </w:rPr>
        <w:t>将依法向社会公示本行政处罚决定信息）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4453"/>
    <w:rsid w:val="01823BF3"/>
    <w:rsid w:val="03250269"/>
    <w:rsid w:val="06455083"/>
    <w:rsid w:val="0AFD15B7"/>
    <w:rsid w:val="0C5404DB"/>
    <w:rsid w:val="0C9C56CC"/>
    <w:rsid w:val="0E460433"/>
    <w:rsid w:val="10606383"/>
    <w:rsid w:val="10821291"/>
    <w:rsid w:val="1162708C"/>
    <w:rsid w:val="125067AB"/>
    <w:rsid w:val="14831723"/>
    <w:rsid w:val="162C3D54"/>
    <w:rsid w:val="17192C4C"/>
    <w:rsid w:val="18242181"/>
    <w:rsid w:val="1CE97692"/>
    <w:rsid w:val="1DFE74B9"/>
    <w:rsid w:val="1E190A3F"/>
    <w:rsid w:val="1E370F7F"/>
    <w:rsid w:val="1ED14B56"/>
    <w:rsid w:val="22010188"/>
    <w:rsid w:val="25BA26F0"/>
    <w:rsid w:val="26CF0B2A"/>
    <w:rsid w:val="296B3DE8"/>
    <w:rsid w:val="2A8C39C5"/>
    <w:rsid w:val="2B3D23B5"/>
    <w:rsid w:val="2D7D3512"/>
    <w:rsid w:val="2EFE6BBD"/>
    <w:rsid w:val="2F1D5C94"/>
    <w:rsid w:val="2F261963"/>
    <w:rsid w:val="30804B63"/>
    <w:rsid w:val="322D1147"/>
    <w:rsid w:val="3358111B"/>
    <w:rsid w:val="3B0941BF"/>
    <w:rsid w:val="3F070AE6"/>
    <w:rsid w:val="45667E93"/>
    <w:rsid w:val="458B0EF0"/>
    <w:rsid w:val="45B57DE2"/>
    <w:rsid w:val="46260AD2"/>
    <w:rsid w:val="48622485"/>
    <w:rsid w:val="4B3B6CE1"/>
    <w:rsid w:val="4C67521E"/>
    <w:rsid w:val="4CA92068"/>
    <w:rsid w:val="4EA93E9E"/>
    <w:rsid w:val="550F6FB1"/>
    <w:rsid w:val="55173041"/>
    <w:rsid w:val="551C1573"/>
    <w:rsid w:val="5C4A07B7"/>
    <w:rsid w:val="5C5364DF"/>
    <w:rsid w:val="5F3A0A7D"/>
    <w:rsid w:val="603D593E"/>
    <w:rsid w:val="63570391"/>
    <w:rsid w:val="66C91B28"/>
    <w:rsid w:val="6AEA0DA6"/>
    <w:rsid w:val="6B605BB9"/>
    <w:rsid w:val="6C9F3D1B"/>
    <w:rsid w:val="6F802AFE"/>
    <w:rsid w:val="720F1142"/>
    <w:rsid w:val="72AB5E98"/>
    <w:rsid w:val="743D1C2E"/>
    <w:rsid w:val="74D94B8F"/>
    <w:rsid w:val="750A5028"/>
    <w:rsid w:val="75426CA5"/>
    <w:rsid w:val="763E2A21"/>
    <w:rsid w:val="76495CDB"/>
    <w:rsid w:val="7C9A6FC1"/>
    <w:rsid w:val="7DFE15FB"/>
    <w:rsid w:val="7E790CBB"/>
    <w:rsid w:val="7FBE6413"/>
    <w:rsid w:val="7FC63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  <w:jc w:val="left"/>
    </w:pPr>
    <w:rPr>
      <w:rFonts w:ascii="宋体" w:hAnsi="宋体" w:eastAsia="宋体" w:cs="Times New Roman"/>
      <w:kern w:val="0"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宋飛</cp:lastModifiedBy>
  <dcterms:modified xsi:type="dcterms:W3CDTF">2020-06-30T01:31:10Z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