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8C" w:rsidRPr="00AB6F73" w:rsidRDefault="00B9528C" w:rsidP="00B9528C">
      <w:pPr>
        <w:pStyle w:val="Default"/>
        <w:rPr>
          <w:rFonts w:ascii="Times New Roman" w:eastAsia="黑体" w:hAnsi="Times New Roman" w:cs="Times New Roman"/>
          <w:sz w:val="32"/>
          <w:szCs w:val="32"/>
        </w:rPr>
      </w:pPr>
      <w:r w:rsidRPr="00AB6F73">
        <w:rPr>
          <w:rFonts w:ascii="Times New Roman" w:eastAsia="黑体" w:hAnsi="黑体" w:cs="Times New Roman"/>
          <w:sz w:val="32"/>
          <w:szCs w:val="32"/>
        </w:rPr>
        <w:t>附件</w:t>
      </w:r>
      <w:r w:rsidRPr="00AB6F73">
        <w:rPr>
          <w:rFonts w:ascii="Times New Roman" w:eastAsia="黑体" w:hAnsi="Times New Roman" w:cs="Times New Roman"/>
          <w:sz w:val="32"/>
          <w:szCs w:val="32"/>
        </w:rPr>
        <w:t>4</w:t>
      </w:r>
    </w:p>
    <w:p w:rsidR="006639B7" w:rsidRPr="00AB6F73" w:rsidRDefault="00B9528C" w:rsidP="00B9528C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AB6F73">
        <w:rPr>
          <w:rFonts w:ascii="Times New Roman" w:eastAsiaTheme="majorEastAsia" w:hAnsiTheme="majorEastAsia" w:cs="Times New Roman"/>
          <w:b/>
          <w:sz w:val="44"/>
          <w:szCs w:val="44"/>
        </w:rPr>
        <w:t>部分检验项目说明</w:t>
      </w:r>
    </w:p>
    <w:p w:rsidR="002C304B" w:rsidRPr="0064582D" w:rsidRDefault="002C304B" w:rsidP="0064582D">
      <w:pPr>
        <w:spacing w:afterLines="50"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64582D">
        <w:rPr>
          <w:rFonts w:ascii="黑体" w:eastAsia="黑体" w:hAnsi="黑体" w:cs="Times New Roman" w:hint="eastAsia"/>
          <w:sz w:val="32"/>
          <w:szCs w:val="32"/>
        </w:rPr>
        <w:t>恩诺沙星</w:t>
      </w:r>
    </w:p>
    <w:p w:rsidR="002C304B" w:rsidRPr="002C304B" w:rsidRDefault="002C304B" w:rsidP="002C304B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Times New Roman" w:eastAsia="仿宋" w:hAnsi="仿宋" w:hint="eastAsia"/>
          <w:sz w:val="32"/>
          <w:szCs w:val="32"/>
        </w:rPr>
      </w:pPr>
      <w:r w:rsidRPr="002C304B">
        <w:rPr>
          <w:rFonts w:ascii="Times New Roman" w:eastAsia="仿宋" w:hAnsi="仿宋" w:hint="eastAsia"/>
          <w:sz w:val="32"/>
          <w:szCs w:val="32"/>
        </w:rPr>
        <w:t>属于喹诺酮类抗菌消炎兽药，已广泛应用于禽畜和鱼类疾病</w:t>
      </w:r>
      <w:r w:rsidRPr="002C304B">
        <w:rPr>
          <w:rFonts w:ascii="Times New Roman" w:eastAsia="仿宋" w:hAnsi="仿宋" w:hint="eastAsia"/>
          <w:sz w:val="32"/>
          <w:szCs w:val="32"/>
        </w:rPr>
        <w:t>.</w:t>
      </w:r>
      <w:r w:rsidRPr="002C304B">
        <w:rPr>
          <w:rFonts w:ascii="Times New Roman" w:eastAsia="仿宋" w:hAnsi="仿宋" w:hint="eastAsia"/>
          <w:sz w:val="32"/>
          <w:szCs w:val="32"/>
        </w:rPr>
        <w:t>防治。恩诺沙星超标，可能是养殖环节养殖户为防治疾病而超量使用或未严格控制休药期</w:t>
      </w:r>
      <w:r w:rsidRPr="002C304B">
        <w:rPr>
          <w:rFonts w:ascii="Times New Roman" w:eastAsia="仿宋" w:hAnsi="仿宋" w:hint="eastAsia"/>
          <w:sz w:val="32"/>
          <w:szCs w:val="32"/>
        </w:rPr>
        <w:t>,</w:t>
      </w:r>
      <w:r w:rsidRPr="002C304B">
        <w:rPr>
          <w:rFonts w:ascii="Times New Roman" w:eastAsia="仿宋" w:hAnsi="仿宋" w:hint="eastAsia"/>
          <w:sz w:val="32"/>
          <w:szCs w:val="32"/>
        </w:rPr>
        <w:t>没有加强用药控制导致残留超标。长期食用恩诺沙星超标的动物性食品，可能导致该类药物在人体中蓄积</w:t>
      </w:r>
      <w:r w:rsidRPr="002C304B">
        <w:rPr>
          <w:rFonts w:ascii="Times New Roman" w:eastAsia="仿宋" w:hAnsi="仿宋" w:hint="eastAsia"/>
          <w:sz w:val="32"/>
          <w:szCs w:val="32"/>
        </w:rPr>
        <w:t xml:space="preserve">, </w:t>
      </w:r>
      <w:r w:rsidRPr="002C304B">
        <w:rPr>
          <w:rFonts w:ascii="Times New Roman" w:eastAsia="仿宋" w:hAnsi="仿宋" w:hint="eastAsia"/>
          <w:sz w:val="32"/>
          <w:szCs w:val="32"/>
        </w:rPr>
        <w:t>过量摄入会给人体健康带来危害。</w:t>
      </w:r>
    </w:p>
    <w:p w:rsidR="00DD362A" w:rsidRPr="0064582D" w:rsidRDefault="00DD362A" w:rsidP="0064582D">
      <w:pPr>
        <w:spacing w:afterLines="50"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64582D">
        <w:rPr>
          <w:rFonts w:ascii="黑体" w:eastAsia="黑体" w:hAnsi="黑体" w:cs="Times New Roman" w:hint="eastAsia"/>
          <w:sz w:val="32"/>
          <w:szCs w:val="32"/>
        </w:rPr>
        <w:t>氟苯尼考</w:t>
      </w:r>
    </w:p>
    <w:p w:rsidR="0064582D" w:rsidRDefault="0064582D" w:rsidP="004D5ED7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Times New Roman" w:eastAsia="仿宋" w:hAnsi="仿宋" w:hint="eastAsia"/>
          <w:sz w:val="32"/>
          <w:szCs w:val="32"/>
        </w:rPr>
      </w:pPr>
      <w:r w:rsidRPr="004D5ED7">
        <w:rPr>
          <w:rFonts w:ascii="Times New Roman" w:eastAsia="仿宋" w:hAnsi="仿宋"/>
          <w:sz w:val="32"/>
          <w:szCs w:val="32"/>
        </w:rPr>
        <w:t>氟苯尼考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又名氟甲矶霉素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通过抑制肽酰基转移酶活性而产生广谱抑菌作用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抗菌谱广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包括各种革兰氏阳性、阴性菌和支原体等。氟苯尼考是替代氯霉素和甲矾霉素的新代氯霉素类抗生素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广泛用于治疗动物的细菌性疾病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如呼吸系统感染和肠道感染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对多种畜禽细性疾病治疗效果显著。但它具有一定的免疫毒性和胚胎毒性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用药后会出现厌食、腹泻等不良反应。农业部</w:t>
      </w:r>
      <w:r w:rsidRPr="004D5ED7">
        <w:rPr>
          <w:rFonts w:ascii="Times New Roman" w:eastAsia="仿宋" w:hAnsi="仿宋"/>
          <w:sz w:val="32"/>
          <w:szCs w:val="32"/>
        </w:rPr>
        <w:t>2002</w:t>
      </w:r>
      <w:r w:rsidRPr="004D5ED7">
        <w:rPr>
          <w:rFonts w:ascii="Times New Roman" w:eastAsia="仿宋" w:hAnsi="仿宋"/>
          <w:sz w:val="32"/>
          <w:szCs w:val="32"/>
        </w:rPr>
        <w:t>年</w:t>
      </w:r>
      <w:r w:rsidRPr="004D5ED7">
        <w:rPr>
          <w:rFonts w:ascii="Times New Roman" w:eastAsia="仿宋" w:hAnsi="仿宋"/>
          <w:sz w:val="32"/>
          <w:szCs w:val="32"/>
        </w:rPr>
        <w:t>235</w:t>
      </w:r>
      <w:r w:rsidRPr="004D5ED7">
        <w:rPr>
          <w:rFonts w:ascii="Times New Roman" w:eastAsia="仿宋" w:hAnsi="仿宋"/>
          <w:sz w:val="32"/>
          <w:szCs w:val="32"/>
        </w:rPr>
        <w:t>号公告《动物性食品中兽药最高残留限量》规定了氟苯尼考作为广谱抗献药物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可用于猪、牛、羊、禽、鱼等禽畜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但特别规定“家禽</w:t>
      </w:r>
      <w:r w:rsidRPr="004D5ED7">
        <w:rPr>
          <w:rFonts w:ascii="Times New Roman" w:eastAsia="仿宋" w:hAnsi="仿宋"/>
          <w:sz w:val="32"/>
          <w:szCs w:val="32"/>
        </w:rPr>
        <w:t>(</w:t>
      </w:r>
      <w:r w:rsidRPr="004D5ED7">
        <w:rPr>
          <w:rFonts w:ascii="Times New Roman" w:eastAsia="仿宋" w:hAnsi="仿宋"/>
          <w:sz w:val="32"/>
          <w:szCs w:val="32"/>
        </w:rPr>
        <w:t>产蛋禁用</w:t>
      </w:r>
      <w:r w:rsidRPr="004D5ED7">
        <w:rPr>
          <w:rFonts w:ascii="Times New Roman" w:eastAsia="仿宋" w:hAnsi="仿宋"/>
          <w:sz w:val="32"/>
          <w:szCs w:val="32"/>
        </w:rPr>
        <w:t>)",</w:t>
      </w:r>
      <w:r w:rsidRPr="004D5ED7">
        <w:rPr>
          <w:rFonts w:ascii="Times New Roman" w:eastAsia="仿宋" w:hAnsi="仿宋"/>
          <w:sz w:val="32"/>
          <w:szCs w:val="32"/>
        </w:rPr>
        <w:t>从检验角度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鸡肉、皮、脂、肝、肾中允许检出</w:t>
      </w:r>
      <w:r w:rsidRPr="004D5ED7">
        <w:rPr>
          <w:rFonts w:ascii="Times New Roman" w:eastAsia="仿宋" w:hAnsi="仿宋"/>
          <w:sz w:val="32"/>
          <w:szCs w:val="32"/>
        </w:rPr>
        <w:t>,</w:t>
      </w:r>
      <w:r w:rsidRPr="004D5ED7">
        <w:rPr>
          <w:rFonts w:ascii="Times New Roman" w:eastAsia="仿宋" w:hAnsi="仿宋"/>
          <w:sz w:val="32"/>
          <w:szCs w:val="32"/>
        </w:rPr>
        <w:t>但鸡蛋中不得检出。</w:t>
      </w:r>
    </w:p>
    <w:p w:rsidR="00B62A31" w:rsidRDefault="00B62A31" w:rsidP="004D5ED7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Times New Roman" w:eastAsia="仿宋" w:hAnsi="仿宋" w:hint="eastAsia"/>
          <w:sz w:val="32"/>
          <w:szCs w:val="32"/>
        </w:rPr>
      </w:pPr>
    </w:p>
    <w:p w:rsidR="00B62A31" w:rsidRDefault="00B62A31" w:rsidP="004D5ED7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Times New Roman" w:eastAsia="仿宋" w:hAnsi="仿宋" w:hint="eastAsia"/>
          <w:sz w:val="32"/>
          <w:szCs w:val="32"/>
        </w:rPr>
      </w:pPr>
    </w:p>
    <w:p w:rsidR="00DD362A" w:rsidRPr="00B62A31" w:rsidRDefault="00DD362A" w:rsidP="00B62A31">
      <w:pPr>
        <w:spacing w:afterLines="50"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B62A31">
        <w:rPr>
          <w:rFonts w:ascii="黑体" w:eastAsia="黑体" w:hAnsi="黑体" w:cs="Times New Roman" w:hint="eastAsia"/>
          <w:sz w:val="32"/>
          <w:szCs w:val="32"/>
        </w:rPr>
        <w:lastRenderedPageBreak/>
        <w:t>多西环素</w:t>
      </w:r>
    </w:p>
    <w:p w:rsidR="00B62A31" w:rsidRDefault="00B62A31" w:rsidP="00B62A31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Times New Roman" w:eastAsia="仿宋" w:hAnsi="仿宋" w:hint="eastAsia"/>
          <w:sz w:val="32"/>
          <w:szCs w:val="32"/>
        </w:rPr>
      </w:pPr>
      <w:r w:rsidRPr="00B62A31">
        <w:rPr>
          <w:rFonts w:ascii="Times New Roman" w:eastAsia="仿宋" w:hAnsi="仿宋"/>
          <w:sz w:val="32"/>
          <w:szCs w:val="32"/>
        </w:rPr>
        <w:t>多西环素</w:t>
      </w:r>
      <w:r w:rsidRPr="00B62A31">
        <w:rPr>
          <w:rFonts w:ascii="Times New Roman" w:eastAsia="仿宋" w:hAnsi="仿宋"/>
          <w:sz w:val="32"/>
          <w:szCs w:val="32"/>
        </w:rPr>
        <w:t>(</w:t>
      </w:r>
      <w:r w:rsidRPr="00B62A31">
        <w:rPr>
          <w:rFonts w:ascii="Times New Roman" w:eastAsia="仿宋" w:hAnsi="仿宋"/>
          <w:sz w:val="32"/>
          <w:szCs w:val="32"/>
        </w:rPr>
        <w:t>强力霉素</w:t>
      </w:r>
      <w:r w:rsidRPr="00B62A31">
        <w:rPr>
          <w:rFonts w:ascii="Times New Roman" w:eastAsia="仿宋" w:hAnsi="仿宋"/>
          <w:sz w:val="32"/>
          <w:szCs w:val="32"/>
        </w:rPr>
        <w:t>)</w:t>
      </w:r>
      <w:r w:rsidRPr="00B62A31">
        <w:rPr>
          <w:rFonts w:ascii="Times New Roman" w:eastAsia="仿宋" w:hAnsi="仿宋"/>
          <w:sz w:val="32"/>
          <w:szCs w:val="32"/>
        </w:rPr>
        <w:t>是一种四环素类药物</w:t>
      </w:r>
      <w:r w:rsidRPr="00B62A31">
        <w:rPr>
          <w:rFonts w:ascii="Times New Roman" w:eastAsia="仿宋" w:hAnsi="仿宋"/>
          <w:sz w:val="32"/>
          <w:szCs w:val="32"/>
        </w:rPr>
        <w:t>,</w:t>
      </w:r>
      <w:r w:rsidRPr="00B62A31">
        <w:rPr>
          <w:rFonts w:ascii="Times New Roman" w:eastAsia="仿宋" w:hAnsi="仿宋"/>
          <w:sz w:val="32"/>
          <w:szCs w:val="32"/>
        </w:rPr>
        <w:t>一般用于治疗衣原体支原体感染。《动物性食品中兽药最高残留限量》 </w:t>
      </w:r>
      <w:r w:rsidRPr="00B62A31">
        <w:rPr>
          <w:rFonts w:ascii="Times New Roman" w:eastAsia="仿宋" w:hAnsi="仿宋"/>
          <w:sz w:val="32"/>
          <w:szCs w:val="32"/>
        </w:rPr>
        <w:t>(</w:t>
      </w:r>
      <w:r w:rsidRPr="00B62A31">
        <w:rPr>
          <w:rFonts w:ascii="Times New Roman" w:eastAsia="仿宋" w:hAnsi="仿宋"/>
          <w:sz w:val="32"/>
          <w:szCs w:val="32"/>
        </w:rPr>
        <w:t>农业部公告第</w:t>
      </w:r>
      <w:r w:rsidRPr="00B62A31">
        <w:rPr>
          <w:rFonts w:ascii="Times New Roman" w:eastAsia="仿宋" w:hAnsi="仿宋"/>
          <w:sz w:val="32"/>
          <w:szCs w:val="32"/>
        </w:rPr>
        <w:t>235</w:t>
      </w:r>
      <w:r w:rsidRPr="00B62A31">
        <w:rPr>
          <w:rFonts w:ascii="Times New Roman" w:eastAsia="仿宋" w:hAnsi="仿宋"/>
          <w:sz w:val="32"/>
          <w:szCs w:val="32"/>
        </w:rPr>
        <w:t>号</w:t>
      </w:r>
      <w:r w:rsidRPr="00B62A31">
        <w:rPr>
          <w:rFonts w:ascii="Times New Roman" w:eastAsia="仿宋" w:hAnsi="仿宋"/>
          <w:sz w:val="32"/>
          <w:szCs w:val="32"/>
        </w:rPr>
        <w:t>)</w:t>
      </w:r>
      <w:r w:rsidRPr="00B62A31">
        <w:rPr>
          <w:rFonts w:ascii="Times New Roman" w:eastAsia="仿宋" w:hAnsi="仿宋"/>
          <w:sz w:val="32"/>
          <w:szCs w:val="32"/>
        </w:rPr>
        <w:t>中规定</w:t>
      </w:r>
      <w:r w:rsidRPr="00B62A31">
        <w:rPr>
          <w:rFonts w:ascii="Times New Roman" w:eastAsia="仿宋" w:hAnsi="仿宋"/>
          <w:sz w:val="32"/>
          <w:szCs w:val="32"/>
        </w:rPr>
        <w:t>,</w:t>
      </w:r>
      <w:r w:rsidRPr="00B62A31">
        <w:rPr>
          <w:rFonts w:ascii="Times New Roman" w:eastAsia="仿宋" w:hAnsi="仿宋"/>
          <w:sz w:val="32"/>
          <w:szCs w:val="32"/>
        </w:rPr>
        <w:t>多西环素</w:t>
      </w:r>
      <w:r w:rsidRPr="00B62A31">
        <w:rPr>
          <w:rFonts w:ascii="Times New Roman" w:eastAsia="仿宋" w:hAnsi="仿宋"/>
          <w:sz w:val="32"/>
          <w:szCs w:val="32"/>
        </w:rPr>
        <w:t>(</w:t>
      </w:r>
      <w:r w:rsidRPr="00B62A31">
        <w:rPr>
          <w:rFonts w:ascii="Times New Roman" w:eastAsia="仿宋" w:hAnsi="仿宋"/>
          <w:sz w:val="32"/>
          <w:szCs w:val="32"/>
        </w:rPr>
        <w:t>强力霉素</w:t>
      </w:r>
      <w:r w:rsidRPr="00B62A31">
        <w:rPr>
          <w:rFonts w:ascii="Times New Roman" w:eastAsia="仿宋" w:hAnsi="仿宋"/>
          <w:sz w:val="32"/>
          <w:szCs w:val="32"/>
        </w:rPr>
        <w:t>)</w:t>
      </w:r>
      <w:r w:rsidRPr="00B62A31">
        <w:rPr>
          <w:rFonts w:ascii="Times New Roman" w:eastAsia="仿宋" w:hAnsi="仿宋"/>
          <w:sz w:val="32"/>
          <w:szCs w:val="32"/>
        </w:rPr>
        <w:t>在禽的肌肉中最高残留限量为</w:t>
      </w:r>
      <w:r w:rsidRPr="00B62A31">
        <w:rPr>
          <w:rFonts w:ascii="Times New Roman" w:eastAsia="仿宋" w:hAnsi="仿宋"/>
          <w:sz w:val="32"/>
          <w:szCs w:val="32"/>
        </w:rPr>
        <w:t>100pg/kg</w:t>
      </w:r>
      <w:r w:rsidRPr="00B62A31">
        <w:rPr>
          <w:rFonts w:ascii="Times New Roman" w:eastAsia="仿宋" w:hAnsi="仿宋"/>
          <w:sz w:val="32"/>
          <w:szCs w:val="32"/>
        </w:rPr>
        <w:t>。长期食用多西环素</w:t>
      </w:r>
      <w:r w:rsidRPr="00B62A31">
        <w:rPr>
          <w:rFonts w:ascii="Times New Roman" w:eastAsia="仿宋" w:hAnsi="仿宋"/>
          <w:sz w:val="32"/>
          <w:szCs w:val="32"/>
        </w:rPr>
        <w:t>(</w:t>
      </w:r>
      <w:r w:rsidRPr="00B62A31">
        <w:rPr>
          <w:rFonts w:ascii="Times New Roman" w:eastAsia="仿宋" w:hAnsi="仿宋"/>
          <w:sz w:val="32"/>
          <w:szCs w:val="32"/>
        </w:rPr>
        <w:t>强力霉素</w:t>
      </w:r>
      <w:r w:rsidRPr="00B62A31">
        <w:rPr>
          <w:rFonts w:ascii="Times New Roman" w:eastAsia="仿宋" w:hAnsi="仿宋"/>
          <w:sz w:val="32"/>
          <w:szCs w:val="32"/>
        </w:rPr>
        <w:t>)</w:t>
      </w:r>
      <w:r w:rsidRPr="00B62A31">
        <w:rPr>
          <w:rFonts w:ascii="Times New Roman" w:eastAsia="仿宋" w:hAnsi="仿宋"/>
          <w:sz w:val="32"/>
          <w:szCs w:val="32"/>
        </w:rPr>
        <w:t>残留超标的食品</w:t>
      </w:r>
      <w:r w:rsidRPr="00B62A31">
        <w:rPr>
          <w:rFonts w:ascii="Times New Roman" w:eastAsia="仿宋" w:hAnsi="仿宋"/>
          <w:sz w:val="32"/>
          <w:szCs w:val="32"/>
        </w:rPr>
        <w:t>,</w:t>
      </w:r>
      <w:r w:rsidRPr="00B62A31">
        <w:rPr>
          <w:rFonts w:ascii="Times New Roman" w:eastAsia="仿宋" w:hAnsi="仿宋"/>
          <w:sz w:val="32"/>
          <w:szCs w:val="32"/>
        </w:rPr>
        <w:t>可使病原体产生耐药性</w:t>
      </w:r>
      <w:r w:rsidRPr="00B62A31">
        <w:rPr>
          <w:rFonts w:ascii="Times New Roman" w:eastAsia="仿宋" w:hAnsi="仿宋"/>
          <w:sz w:val="32"/>
          <w:szCs w:val="32"/>
        </w:rPr>
        <w:t>,</w:t>
      </w:r>
      <w:r w:rsidRPr="00B62A31">
        <w:rPr>
          <w:rFonts w:ascii="Times New Roman" w:eastAsia="仿宋" w:hAnsi="仿宋"/>
          <w:sz w:val="32"/>
          <w:szCs w:val="32"/>
        </w:rPr>
        <w:t>对人体健康有一定影响。</w:t>
      </w:r>
    </w:p>
    <w:p w:rsidR="00B62A31" w:rsidRPr="00870BEA" w:rsidRDefault="00B62A31" w:rsidP="00B62A31">
      <w:pPr>
        <w:spacing w:afterLines="50"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870BEA">
        <w:rPr>
          <w:rFonts w:ascii="黑体" w:eastAsia="黑体" w:hAnsi="黑体" w:cs="Times New Roman"/>
          <w:sz w:val="32"/>
          <w:szCs w:val="32"/>
        </w:rPr>
        <w:t>呋喃唑酮代谢物</w:t>
      </w:r>
    </w:p>
    <w:p w:rsidR="00B62A31" w:rsidRDefault="00B62A31" w:rsidP="00B62A31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870BEA">
        <w:rPr>
          <w:rFonts w:ascii="仿宋" w:eastAsia="仿宋" w:hAnsi="仿宋" w:cs="Times New Roman"/>
          <w:kern w:val="2"/>
          <w:sz w:val="32"/>
          <w:szCs w:val="32"/>
        </w:rPr>
        <w:t>呋喃唑酮是硝基呋喃类广谱抗生素，曾广泛应用于畜禽及水产养殖业。《动物性食品中兽药最高残留限量》（农业部公告第235号）中规定，呋喃唑酮为禁止使用的药物，在动物性食品中不得检出。硝基呋喃类药物及其代谢物可引起溶血性贫血、多发性神经炎等疾病。</w:t>
      </w:r>
    </w:p>
    <w:p w:rsidR="00DD362A" w:rsidRPr="00B62A31" w:rsidRDefault="00DD362A" w:rsidP="00B62A31">
      <w:pPr>
        <w:pStyle w:val="HTML"/>
        <w:shd w:val="clear" w:color="auto" w:fill="FFFFFF"/>
        <w:wordWrap w:val="0"/>
        <w:spacing w:line="330" w:lineRule="atLeas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sectPr w:rsidR="00DD362A" w:rsidRPr="00B62A31" w:rsidSect="000A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83" w:rsidRDefault="002D5C83" w:rsidP="00D2492A">
      <w:r>
        <w:separator/>
      </w:r>
    </w:p>
  </w:endnote>
  <w:endnote w:type="continuationSeparator" w:id="1">
    <w:p w:rsidR="002D5C83" w:rsidRDefault="002D5C83" w:rsidP="00D2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83" w:rsidRDefault="002D5C83" w:rsidP="00D2492A">
      <w:r>
        <w:separator/>
      </w:r>
    </w:p>
  </w:footnote>
  <w:footnote w:type="continuationSeparator" w:id="1">
    <w:p w:rsidR="002D5C83" w:rsidRDefault="002D5C83" w:rsidP="00D24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53C"/>
    <w:multiLevelType w:val="hybridMultilevel"/>
    <w:tmpl w:val="2D1E3AEC"/>
    <w:lvl w:ilvl="0" w:tplc="C8C603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6C5BFA"/>
    <w:multiLevelType w:val="hybridMultilevel"/>
    <w:tmpl w:val="B31E34D2"/>
    <w:lvl w:ilvl="0" w:tplc="04090013">
      <w:start w:val="1"/>
      <w:numFmt w:val="chineseCountingThousand"/>
      <w:lvlText w:val="%1、"/>
      <w:lvlJc w:val="left"/>
      <w:pPr>
        <w:ind w:left="1012" w:hanging="420"/>
      </w:p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2">
    <w:nsid w:val="66B167F3"/>
    <w:multiLevelType w:val="hybridMultilevel"/>
    <w:tmpl w:val="1C8C6730"/>
    <w:lvl w:ilvl="0" w:tplc="86EC982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436CDE"/>
    <w:multiLevelType w:val="hybridMultilevel"/>
    <w:tmpl w:val="835CE03A"/>
    <w:lvl w:ilvl="0" w:tplc="83B8C582">
      <w:start w:val="1"/>
      <w:numFmt w:val="japaneseCounting"/>
      <w:lvlText w:val="%1、"/>
      <w:lvlJc w:val="left"/>
      <w:pPr>
        <w:ind w:left="720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27503D"/>
    <w:multiLevelType w:val="hybridMultilevel"/>
    <w:tmpl w:val="86B2B9FA"/>
    <w:lvl w:ilvl="0" w:tplc="4972FAF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A667E"/>
    <w:multiLevelType w:val="hybridMultilevel"/>
    <w:tmpl w:val="F0489964"/>
    <w:lvl w:ilvl="0" w:tplc="DCDA3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28C"/>
    <w:rsid w:val="00001251"/>
    <w:rsid w:val="00054412"/>
    <w:rsid w:val="00066D86"/>
    <w:rsid w:val="000A1344"/>
    <w:rsid w:val="000A4B4F"/>
    <w:rsid w:val="000E3938"/>
    <w:rsid w:val="00133B01"/>
    <w:rsid w:val="00195A96"/>
    <w:rsid w:val="001F183B"/>
    <w:rsid w:val="00207CD9"/>
    <w:rsid w:val="00207FAB"/>
    <w:rsid w:val="0024199E"/>
    <w:rsid w:val="00250ED7"/>
    <w:rsid w:val="002831F4"/>
    <w:rsid w:val="002B1B94"/>
    <w:rsid w:val="002C304B"/>
    <w:rsid w:val="002D5C83"/>
    <w:rsid w:val="002E17D6"/>
    <w:rsid w:val="00320B08"/>
    <w:rsid w:val="00327A99"/>
    <w:rsid w:val="003354F7"/>
    <w:rsid w:val="003367B4"/>
    <w:rsid w:val="00344AFE"/>
    <w:rsid w:val="00351035"/>
    <w:rsid w:val="00353194"/>
    <w:rsid w:val="003968CA"/>
    <w:rsid w:val="003A54C7"/>
    <w:rsid w:val="003C2241"/>
    <w:rsid w:val="003D48E3"/>
    <w:rsid w:val="003E0C70"/>
    <w:rsid w:val="003E1841"/>
    <w:rsid w:val="003E735B"/>
    <w:rsid w:val="004027D0"/>
    <w:rsid w:val="004214EE"/>
    <w:rsid w:val="004772A7"/>
    <w:rsid w:val="00496354"/>
    <w:rsid w:val="004D5ED7"/>
    <w:rsid w:val="00545262"/>
    <w:rsid w:val="00551B2B"/>
    <w:rsid w:val="00551F99"/>
    <w:rsid w:val="00561CE8"/>
    <w:rsid w:val="00582EF6"/>
    <w:rsid w:val="00583629"/>
    <w:rsid w:val="0058492B"/>
    <w:rsid w:val="005B3B1E"/>
    <w:rsid w:val="005C1B97"/>
    <w:rsid w:val="005E1F43"/>
    <w:rsid w:val="005E366A"/>
    <w:rsid w:val="006072B9"/>
    <w:rsid w:val="00611D48"/>
    <w:rsid w:val="00616FAD"/>
    <w:rsid w:val="0064582D"/>
    <w:rsid w:val="00654830"/>
    <w:rsid w:val="006553C8"/>
    <w:rsid w:val="006639B7"/>
    <w:rsid w:val="00671370"/>
    <w:rsid w:val="006A187F"/>
    <w:rsid w:val="006C2244"/>
    <w:rsid w:val="006D7F5A"/>
    <w:rsid w:val="006F2F50"/>
    <w:rsid w:val="007274B3"/>
    <w:rsid w:val="00731115"/>
    <w:rsid w:val="00740949"/>
    <w:rsid w:val="007679BD"/>
    <w:rsid w:val="00770705"/>
    <w:rsid w:val="00795A48"/>
    <w:rsid w:val="00797869"/>
    <w:rsid w:val="007D1198"/>
    <w:rsid w:val="007D68E0"/>
    <w:rsid w:val="007F49F2"/>
    <w:rsid w:val="00815FD7"/>
    <w:rsid w:val="00824BEF"/>
    <w:rsid w:val="008260E0"/>
    <w:rsid w:val="008277E1"/>
    <w:rsid w:val="00827D6B"/>
    <w:rsid w:val="008403F1"/>
    <w:rsid w:val="00845166"/>
    <w:rsid w:val="00857CAD"/>
    <w:rsid w:val="00870BEA"/>
    <w:rsid w:val="008A1C06"/>
    <w:rsid w:val="008B23A7"/>
    <w:rsid w:val="00900E14"/>
    <w:rsid w:val="00914867"/>
    <w:rsid w:val="00931837"/>
    <w:rsid w:val="00933FDB"/>
    <w:rsid w:val="00937FB4"/>
    <w:rsid w:val="009538B0"/>
    <w:rsid w:val="00973C95"/>
    <w:rsid w:val="00985B4A"/>
    <w:rsid w:val="00993531"/>
    <w:rsid w:val="009A4063"/>
    <w:rsid w:val="009C5CF9"/>
    <w:rsid w:val="009D61F2"/>
    <w:rsid w:val="009F17EA"/>
    <w:rsid w:val="00A00BA4"/>
    <w:rsid w:val="00A40703"/>
    <w:rsid w:val="00A44DC4"/>
    <w:rsid w:val="00A81C8E"/>
    <w:rsid w:val="00A85FBD"/>
    <w:rsid w:val="00AB20FF"/>
    <w:rsid w:val="00AB2428"/>
    <w:rsid w:val="00AB6F73"/>
    <w:rsid w:val="00AC1D73"/>
    <w:rsid w:val="00AD53E0"/>
    <w:rsid w:val="00B1785D"/>
    <w:rsid w:val="00B36D67"/>
    <w:rsid w:val="00B5246A"/>
    <w:rsid w:val="00B62A31"/>
    <w:rsid w:val="00B64ECF"/>
    <w:rsid w:val="00B9528C"/>
    <w:rsid w:val="00BF1338"/>
    <w:rsid w:val="00BF4AEB"/>
    <w:rsid w:val="00C247A7"/>
    <w:rsid w:val="00C766A1"/>
    <w:rsid w:val="00C96AE8"/>
    <w:rsid w:val="00CB3686"/>
    <w:rsid w:val="00CF32F2"/>
    <w:rsid w:val="00D137E0"/>
    <w:rsid w:val="00D23E67"/>
    <w:rsid w:val="00D2492A"/>
    <w:rsid w:val="00D61E4B"/>
    <w:rsid w:val="00D8524A"/>
    <w:rsid w:val="00DA5B4F"/>
    <w:rsid w:val="00DC1A3B"/>
    <w:rsid w:val="00DD0326"/>
    <w:rsid w:val="00DD362A"/>
    <w:rsid w:val="00DE248F"/>
    <w:rsid w:val="00DF16D6"/>
    <w:rsid w:val="00DF6D21"/>
    <w:rsid w:val="00E47797"/>
    <w:rsid w:val="00E53C94"/>
    <w:rsid w:val="00EB5080"/>
    <w:rsid w:val="00EB5C0C"/>
    <w:rsid w:val="00EE4C6F"/>
    <w:rsid w:val="00EF2013"/>
    <w:rsid w:val="00EF261E"/>
    <w:rsid w:val="00F41671"/>
    <w:rsid w:val="00F53F3F"/>
    <w:rsid w:val="00F93767"/>
    <w:rsid w:val="00FA4EE9"/>
    <w:rsid w:val="00FB698F"/>
    <w:rsid w:val="00F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28C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2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92A"/>
    <w:rPr>
      <w:sz w:val="18"/>
      <w:szCs w:val="18"/>
    </w:rPr>
  </w:style>
  <w:style w:type="paragraph" w:styleId="HTML">
    <w:name w:val="HTML Preformatted"/>
    <w:basedOn w:val="a"/>
    <w:link w:val="HTMLChar"/>
    <w:qFormat/>
    <w:rsid w:val="007707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70705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70705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770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D1198"/>
    <w:rPr>
      <w:b/>
      <w:bCs/>
    </w:rPr>
  </w:style>
  <w:style w:type="character" w:styleId="a8">
    <w:name w:val="Hyperlink"/>
    <w:basedOn w:val="a0"/>
    <w:uiPriority w:val="99"/>
    <w:semiHidden/>
    <w:unhideWhenUsed/>
    <w:rsid w:val="003A5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28C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2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92A"/>
    <w:rPr>
      <w:sz w:val="18"/>
      <w:szCs w:val="18"/>
    </w:rPr>
  </w:style>
  <w:style w:type="paragraph" w:styleId="HTML">
    <w:name w:val="HTML Preformatted"/>
    <w:basedOn w:val="a"/>
    <w:link w:val="HTMLChar"/>
    <w:qFormat/>
    <w:rsid w:val="007707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70705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70705"/>
    <w:pPr>
      <w:ind w:firstLineChars="200" w:firstLine="420"/>
    </w:pPr>
  </w:style>
  <w:style w:type="paragraph" w:styleId="a6">
    <w:name w:val="Normal (Web)"/>
    <w:basedOn w:val="a"/>
    <w:unhideWhenUsed/>
    <w:qFormat/>
    <w:rsid w:val="00770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D1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lll</cp:lastModifiedBy>
  <cp:revision>5</cp:revision>
  <cp:lastPrinted>2020-06-11T07:22:00Z</cp:lastPrinted>
  <dcterms:created xsi:type="dcterms:W3CDTF">2020-06-11T04:03:00Z</dcterms:created>
  <dcterms:modified xsi:type="dcterms:W3CDTF">2020-07-02T09:11:00Z</dcterms:modified>
</cp:coreProperties>
</file>