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="210" w:afterAutospacing="0" w:line="42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附件1</w:t>
      </w: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>
      <w:pPr>
        <w:rPr>
          <w:rFonts w:ascii="黑体" w:hAnsi="黑体" w:eastAsia="黑体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</w:rPr>
        <w:t>一、食用农产品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食品中农药最大残留限量》（GB 2763-2019）、《食品安全国家标准 食品中污染物限量》（GB 2762-2017）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（1）蔬菜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氟虫腈、灭多威、水胺硫磷、氧乐果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（2）畜禽肉及副产品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克伦特罗、沙丁胺醇、莱克多巴胺、氯霉素、恩诺沙星(以恩诺沙星与环丙沙星之和计)、氧氟沙星、培氟沙星、诺氟沙星、磺胺类(总量)、甲氧苄啶、特布他林、地塞米松、氯丙嗪、四环素、土霉素、金霉素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（3）鲜蛋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氯霉素、氟苯尼考、恩诺沙星、氧氟沙星、诺氟沙星、金刚烷胺、金刚乙胺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（4）水产品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孔雀石绿、氯霉素、呋喃唑酮代谢物、呋喃它酮代谢物、呋喃西林代谢物、呋喃妥因代谢物、恩诺沙星(以恩诺沙星与环丙沙星之和计)、氧氟沙星、培氟沙星、诺氟沙星、磺胺类(总量)、甲氧苄啶、地西泮、四环素、金霉素、土霉素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（5）水果</w:t>
      </w:r>
    </w:p>
    <w:p>
      <w:pPr>
        <w:widowControl/>
        <w:spacing w:line="420" w:lineRule="atLeast"/>
        <w:ind w:firstLine="640" w:firstLineChars="200"/>
        <w:rPr>
          <w:rFonts w:hint="eastAsia" w:ascii="仿宋" w:hAnsi="仿宋" w:eastAsia="仿宋" w:cs="Helvetic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辛硫磷、戊唑醇、三唑磷、氯氰菊酯和高效氯氰菊酯、克百威、毒死蜱、丙溴磷、苯醚甲环唑、多菌灵、氧乐果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Helvetic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Helvetic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Helvetic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Helvetic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Helvetic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Helvetic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Helvetic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Helvetic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ab/>
      </w:r>
    </w:p>
    <w:p>
      <w:pPr>
        <w:widowControl/>
        <w:shd w:val="clear" w:color="auto" w:fill="FFFFFF"/>
        <w:spacing w:after="210" w:line="420" w:lineRule="atLeast"/>
        <w:jc w:val="both"/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B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吴比戈</cp:lastModifiedBy>
  <dcterms:modified xsi:type="dcterms:W3CDTF">2020-04-20T09:05:16Z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