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100" w:line="360" w:lineRule="auto"/>
        <w:jc w:val="center"/>
        <w:rPr>
          <w:rFonts w:ascii="宋体" w:hAnsi="宋体"/>
          <w:b/>
          <w:color w:val="000000"/>
          <w:sz w:val="36"/>
          <w:szCs w:val="36"/>
        </w:rPr>
      </w:pPr>
      <w:r>
        <w:rPr>
          <w:rFonts w:hint="eastAsia" w:ascii="宋体" w:hAnsi="宋体"/>
          <w:b/>
          <w:color w:val="000000"/>
          <w:sz w:val="36"/>
          <w:szCs w:val="36"/>
        </w:rPr>
        <w:t>广东省器具耦合器产品质量监督抽查实施细则</w:t>
      </w:r>
    </w:p>
    <w:p>
      <w:pPr>
        <w:snapToGrid w:val="0"/>
        <w:spacing w:beforeLines="50" w:line="360" w:lineRule="auto"/>
        <w:rPr>
          <w:rFonts w:ascii="宋体"/>
          <w:b/>
          <w:bCs/>
          <w:color w:val="000000"/>
        </w:rPr>
      </w:pPr>
      <w:r>
        <w:rPr>
          <w:rFonts w:ascii="宋体" w:hAnsi="宋体" w:cs="宋体"/>
          <w:b/>
          <w:bCs/>
          <w:color w:val="000000"/>
        </w:rPr>
        <w:t xml:space="preserve">1 </w:t>
      </w:r>
      <w:r>
        <w:rPr>
          <w:rFonts w:hint="eastAsia" w:ascii="宋体" w:hAnsi="宋体" w:cs="宋体"/>
          <w:b/>
          <w:bCs/>
          <w:color w:val="000000"/>
          <w:kern w:val="0"/>
        </w:rPr>
        <w:t>适用范围</w:t>
      </w:r>
    </w:p>
    <w:p>
      <w:pPr>
        <w:snapToGrid w:val="0"/>
        <w:spacing w:line="360" w:lineRule="auto"/>
        <w:ind w:firstLine="420" w:firstLineChars="200"/>
        <w:rPr>
          <w:rFonts w:ascii="宋体" w:cs="宋体"/>
          <w:color w:val="000000"/>
          <w:kern w:val="0"/>
        </w:rPr>
      </w:pPr>
      <w:r>
        <w:rPr>
          <w:rFonts w:hint="eastAsia" w:ascii="宋体" w:cs="宋体"/>
          <w:color w:val="000000"/>
          <w:kern w:val="0"/>
        </w:rPr>
        <w:t>本</w:t>
      </w:r>
      <w:r>
        <w:rPr>
          <w:rFonts w:hint="eastAsia" w:ascii="宋体" w:hAnsi="宋体" w:cs="宋体"/>
          <w:color w:val="000000"/>
        </w:rPr>
        <w:t>细则</w:t>
      </w:r>
      <w:r>
        <w:rPr>
          <w:rFonts w:hint="eastAsia" w:ascii="宋体" w:cs="宋体"/>
          <w:color w:val="000000"/>
          <w:kern w:val="0"/>
        </w:rPr>
        <w:t>适用于广东省器具耦合器</w:t>
      </w:r>
      <w:r>
        <w:rPr>
          <w:rFonts w:hint="eastAsia" w:ascii="宋体" w:hAnsi="宋体" w:cs="宋体"/>
          <w:color w:val="000000"/>
        </w:rPr>
        <w:t>产品质量监督抽查。</w:t>
      </w:r>
      <w:r>
        <w:rPr>
          <w:rFonts w:hint="eastAsia" w:ascii="宋体" w:cs="宋体"/>
          <w:color w:val="000000"/>
          <w:kern w:val="0"/>
        </w:rPr>
        <w:t>本</w:t>
      </w:r>
      <w:r>
        <w:rPr>
          <w:rFonts w:hint="eastAsia" w:ascii="宋体" w:hAnsi="宋体" w:cs="宋体"/>
          <w:color w:val="000000"/>
        </w:rPr>
        <w:t>细则内容包括产品分类、术语和定义、企业产品生产规模划分、检验依据、抽样、检验要求、判定原则及异议处理。</w:t>
      </w:r>
    </w:p>
    <w:p>
      <w:pPr>
        <w:snapToGrid w:val="0"/>
        <w:spacing w:line="360" w:lineRule="auto"/>
        <w:rPr>
          <w:rFonts w:ascii="宋体" w:cs="宋体"/>
          <w:color w:val="000000"/>
          <w:kern w:val="0"/>
        </w:rPr>
      </w:pPr>
      <w:r>
        <w:rPr>
          <w:rFonts w:ascii="宋体" w:hAnsi="宋体" w:cs="宋体"/>
          <w:b/>
          <w:bCs/>
          <w:color w:val="000000"/>
        </w:rPr>
        <w:t xml:space="preserve">2 </w:t>
      </w:r>
      <w:r>
        <w:rPr>
          <w:rFonts w:hint="eastAsia" w:ascii="宋体" w:hAnsi="宋体" w:cs="宋体"/>
          <w:b/>
          <w:bCs/>
          <w:color w:val="000000"/>
        </w:rPr>
        <w:t>产品分类</w:t>
      </w:r>
    </w:p>
    <w:p>
      <w:pPr>
        <w:snapToGrid w:val="0"/>
        <w:spacing w:line="360" w:lineRule="auto"/>
        <w:rPr>
          <w:rFonts w:ascii="宋体"/>
          <w:color w:val="000000"/>
        </w:rPr>
      </w:pPr>
      <w:r>
        <w:rPr>
          <w:rFonts w:ascii="宋体" w:hAnsi="宋体" w:cs="宋体"/>
          <w:b/>
          <w:bCs/>
          <w:snapToGrid w:val="0"/>
          <w:color w:val="000000"/>
          <w:kern w:val="0"/>
        </w:rPr>
        <w:t xml:space="preserve">2.1 </w:t>
      </w:r>
      <w:r>
        <w:rPr>
          <w:rFonts w:hint="eastAsia" w:ascii="宋体" w:hAnsi="宋体" w:cs="宋体"/>
          <w:b/>
          <w:bCs/>
          <w:snapToGrid w:val="0"/>
          <w:color w:val="000000"/>
          <w:kern w:val="0"/>
        </w:rPr>
        <w:t>产品分类及代码</w:t>
      </w:r>
    </w:p>
    <w:p>
      <w:pPr>
        <w:snapToGrid w:val="0"/>
        <w:spacing w:line="360" w:lineRule="auto"/>
        <w:ind w:firstLine="420" w:firstLineChars="200"/>
        <w:rPr>
          <w:rFonts w:ascii="宋体"/>
          <w:color w:val="000000"/>
        </w:rPr>
      </w:pPr>
      <w:r>
        <w:rPr>
          <w:rFonts w:hint="eastAsia" w:ascii="宋体" w:hAnsi="宋体" w:cs="宋体"/>
          <w:snapToGrid w:val="0"/>
          <w:color w:val="000000"/>
          <w:kern w:val="0"/>
        </w:rPr>
        <w:t>产品分类及代码见表</w:t>
      </w:r>
      <w:r>
        <w:rPr>
          <w:rFonts w:ascii="宋体" w:hAnsi="宋体" w:cs="宋体"/>
          <w:snapToGrid w:val="0"/>
          <w:color w:val="000000"/>
          <w:kern w:val="0"/>
        </w:rPr>
        <w:t>1</w:t>
      </w:r>
      <w:r>
        <w:rPr>
          <w:rFonts w:hint="eastAsia" w:ascii="宋体" w:hAnsi="宋体" w:cs="宋体"/>
          <w:snapToGrid w:val="0"/>
          <w:color w:val="000000"/>
          <w:kern w:val="0"/>
        </w:rPr>
        <w:t>。</w:t>
      </w:r>
    </w:p>
    <w:p>
      <w:pPr>
        <w:snapToGrid w:val="0"/>
        <w:spacing w:beforeLines="50"/>
        <w:jc w:val="center"/>
        <w:rPr>
          <w:rFonts w:ascii="宋体"/>
          <w:color w:val="000000"/>
          <w:sz w:val="21"/>
          <w:szCs w:val="21"/>
        </w:rPr>
      </w:pPr>
      <w:r>
        <w:rPr>
          <w:rFonts w:hint="eastAsia" w:ascii="宋体" w:hAnsi="宋体" w:cs="宋体"/>
          <w:b/>
          <w:bCs/>
          <w:color w:val="000000"/>
          <w:sz w:val="21"/>
          <w:szCs w:val="21"/>
        </w:rPr>
        <w:t>表</w:t>
      </w:r>
      <w:r>
        <w:rPr>
          <w:rFonts w:ascii="宋体" w:hAnsi="宋体" w:cs="宋体"/>
          <w:b/>
          <w:bCs/>
          <w:color w:val="000000"/>
          <w:sz w:val="21"/>
          <w:szCs w:val="21"/>
        </w:rPr>
        <w:t xml:space="preserve">1  </w:t>
      </w:r>
      <w:r>
        <w:rPr>
          <w:rFonts w:hint="eastAsia" w:ascii="宋体" w:hAnsi="宋体" w:cs="宋体"/>
          <w:b/>
          <w:bCs/>
          <w:color w:val="000000"/>
          <w:sz w:val="21"/>
          <w:szCs w:val="21"/>
        </w:rPr>
        <w:t>产品分类及代码</w:t>
      </w:r>
    </w:p>
    <w:tbl>
      <w:tblPr>
        <w:tblStyle w:val="32"/>
        <w:tblW w:w="84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126"/>
        <w:gridCol w:w="2127"/>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701" w:type="dxa"/>
            <w:vAlign w:val="center"/>
          </w:tcPr>
          <w:p>
            <w:pPr>
              <w:jc w:val="center"/>
              <w:rPr>
                <w:rFonts w:ascii="宋体"/>
                <w:color w:val="000000"/>
                <w:sz w:val="21"/>
                <w:szCs w:val="21"/>
              </w:rPr>
            </w:pPr>
            <w:r>
              <w:rPr>
                <w:rFonts w:hint="eastAsia" w:ascii="宋体" w:hAnsi="宋体" w:cs="宋体"/>
                <w:color w:val="000000"/>
                <w:sz w:val="21"/>
                <w:szCs w:val="21"/>
              </w:rPr>
              <w:t>产品分类</w:t>
            </w:r>
          </w:p>
        </w:tc>
        <w:tc>
          <w:tcPr>
            <w:tcW w:w="2126" w:type="dxa"/>
            <w:vAlign w:val="center"/>
          </w:tcPr>
          <w:p>
            <w:pPr>
              <w:jc w:val="center"/>
              <w:rPr>
                <w:rFonts w:ascii="宋体"/>
                <w:color w:val="000000"/>
                <w:sz w:val="21"/>
                <w:szCs w:val="21"/>
              </w:rPr>
            </w:pPr>
            <w:r>
              <w:rPr>
                <w:rFonts w:hint="eastAsia" w:ascii="宋体" w:hAnsi="宋体" w:cs="宋体"/>
                <w:color w:val="000000"/>
                <w:sz w:val="21"/>
                <w:szCs w:val="21"/>
              </w:rPr>
              <w:t>一级分类</w:t>
            </w:r>
          </w:p>
        </w:tc>
        <w:tc>
          <w:tcPr>
            <w:tcW w:w="2127" w:type="dxa"/>
            <w:vAlign w:val="center"/>
          </w:tcPr>
          <w:p>
            <w:pPr>
              <w:jc w:val="center"/>
              <w:rPr>
                <w:rFonts w:ascii="宋体"/>
                <w:color w:val="000000"/>
                <w:sz w:val="21"/>
                <w:szCs w:val="21"/>
              </w:rPr>
            </w:pPr>
            <w:r>
              <w:rPr>
                <w:rFonts w:hint="eastAsia" w:ascii="宋体" w:hAnsi="宋体" w:cs="宋体"/>
                <w:color w:val="000000"/>
                <w:sz w:val="21"/>
                <w:szCs w:val="21"/>
              </w:rPr>
              <w:t>二级分类</w:t>
            </w:r>
          </w:p>
        </w:tc>
        <w:tc>
          <w:tcPr>
            <w:tcW w:w="2516" w:type="dxa"/>
            <w:vAlign w:val="center"/>
          </w:tcPr>
          <w:p>
            <w:pPr>
              <w:jc w:val="center"/>
              <w:rPr>
                <w:rFonts w:ascii="宋体"/>
                <w:sz w:val="21"/>
                <w:szCs w:val="21"/>
              </w:rPr>
            </w:pPr>
            <w:r>
              <w:rPr>
                <w:rFonts w:hint="eastAsia" w:ascii="宋体" w:hAnsi="宋体" w:cs="宋体"/>
                <w:sz w:val="21"/>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701" w:type="dxa"/>
            <w:vAlign w:val="center"/>
          </w:tcPr>
          <w:p>
            <w:pPr>
              <w:jc w:val="center"/>
              <w:rPr>
                <w:rFonts w:ascii="宋体"/>
                <w:color w:val="000000"/>
                <w:sz w:val="21"/>
                <w:szCs w:val="21"/>
              </w:rPr>
            </w:pPr>
            <w:r>
              <w:rPr>
                <w:rFonts w:hint="eastAsia" w:ascii="宋体" w:hAnsi="宋体" w:cs="宋体"/>
                <w:color w:val="000000"/>
                <w:sz w:val="21"/>
                <w:szCs w:val="21"/>
              </w:rPr>
              <w:t>分类代码</w:t>
            </w:r>
          </w:p>
        </w:tc>
        <w:tc>
          <w:tcPr>
            <w:tcW w:w="2126" w:type="dxa"/>
            <w:vAlign w:val="center"/>
          </w:tcPr>
          <w:p>
            <w:pPr>
              <w:jc w:val="center"/>
              <w:rPr>
                <w:rFonts w:ascii="宋体"/>
                <w:color w:val="000000"/>
                <w:sz w:val="21"/>
                <w:szCs w:val="21"/>
              </w:rPr>
            </w:pPr>
            <w:r>
              <w:rPr>
                <w:rFonts w:ascii="宋体" w:hAnsi="宋体" w:cs="宋体"/>
                <w:color w:val="000000"/>
                <w:sz w:val="21"/>
                <w:szCs w:val="21"/>
              </w:rPr>
              <w:t>7</w:t>
            </w:r>
          </w:p>
        </w:tc>
        <w:tc>
          <w:tcPr>
            <w:tcW w:w="2127" w:type="dxa"/>
            <w:vAlign w:val="center"/>
          </w:tcPr>
          <w:p>
            <w:pPr>
              <w:jc w:val="center"/>
              <w:rPr>
                <w:rFonts w:ascii="宋体"/>
                <w:color w:val="000000"/>
                <w:sz w:val="21"/>
                <w:szCs w:val="21"/>
              </w:rPr>
            </w:pPr>
            <w:r>
              <w:rPr>
                <w:rFonts w:ascii="宋体" w:hAnsi="宋体" w:cs="宋体"/>
                <w:color w:val="000000"/>
                <w:sz w:val="21"/>
                <w:szCs w:val="21"/>
              </w:rPr>
              <w:t>701</w:t>
            </w:r>
          </w:p>
        </w:tc>
        <w:tc>
          <w:tcPr>
            <w:tcW w:w="2516" w:type="dxa"/>
            <w:vAlign w:val="center"/>
          </w:tcPr>
          <w:p>
            <w:pPr>
              <w:jc w:val="center"/>
              <w:rPr>
                <w:rFonts w:ascii="宋体"/>
                <w:color w:val="FF0000"/>
                <w:sz w:val="21"/>
                <w:szCs w:val="21"/>
                <w:highlight w:val="red"/>
              </w:rPr>
            </w:pPr>
            <w:r>
              <w:rPr>
                <w:rFonts w:ascii="宋体" w:hAnsi="宋体" w:cs="宋体"/>
                <w:color w:val="000000"/>
                <w:sz w:val="21"/>
                <w:szCs w:val="21"/>
              </w:rPr>
              <w:t>701.4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Align w:val="center"/>
          </w:tcPr>
          <w:p>
            <w:pPr>
              <w:jc w:val="center"/>
              <w:rPr>
                <w:rFonts w:ascii="宋体"/>
                <w:color w:val="000000"/>
                <w:sz w:val="21"/>
                <w:szCs w:val="21"/>
              </w:rPr>
            </w:pPr>
            <w:r>
              <w:rPr>
                <w:rFonts w:hint="eastAsia" w:ascii="宋体" w:hAnsi="宋体" w:cs="宋体"/>
                <w:color w:val="000000"/>
                <w:sz w:val="21"/>
                <w:szCs w:val="21"/>
              </w:rPr>
              <w:t>分类名称</w:t>
            </w:r>
          </w:p>
        </w:tc>
        <w:tc>
          <w:tcPr>
            <w:tcW w:w="2126" w:type="dxa"/>
            <w:vAlign w:val="center"/>
          </w:tcPr>
          <w:p>
            <w:pPr>
              <w:jc w:val="center"/>
              <w:rPr>
                <w:rFonts w:ascii="宋体"/>
                <w:color w:val="000000"/>
                <w:sz w:val="21"/>
                <w:szCs w:val="21"/>
              </w:rPr>
            </w:pPr>
            <w:r>
              <w:rPr>
                <w:rFonts w:hint="eastAsia" w:ascii="宋体" w:hAnsi="宋体" w:cs="宋体"/>
                <w:color w:val="000000"/>
                <w:sz w:val="21"/>
                <w:szCs w:val="21"/>
              </w:rPr>
              <w:t>电工及材料</w:t>
            </w:r>
          </w:p>
        </w:tc>
        <w:tc>
          <w:tcPr>
            <w:tcW w:w="2127" w:type="dxa"/>
            <w:vAlign w:val="center"/>
          </w:tcPr>
          <w:p>
            <w:pPr>
              <w:jc w:val="center"/>
              <w:rPr>
                <w:rFonts w:ascii="宋体"/>
                <w:color w:val="000000"/>
                <w:sz w:val="21"/>
                <w:szCs w:val="21"/>
              </w:rPr>
            </w:pPr>
            <w:r>
              <w:rPr>
                <w:rFonts w:hint="eastAsia" w:ascii="宋体" w:hAnsi="宋体" w:cs="宋体"/>
                <w:color w:val="000000"/>
                <w:sz w:val="21"/>
                <w:szCs w:val="21"/>
              </w:rPr>
              <w:t>电器附件</w:t>
            </w:r>
          </w:p>
        </w:tc>
        <w:tc>
          <w:tcPr>
            <w:tcW w:w="2516" w:type="dxa"/>
            <w:vAlign w:val="center"/>
          </w:tcPr>
          <w:p>
            <w:pPr>
              <w:jc w:val="center"/>
              <w:rPr>
                <w:rFonts w:ascii="宋体"/>
                <w:color w:val="FF0000"/>
                <w:sz w:val="21"/>
                <w:szCs w:val="21"/>
                <w:highlight w:val="red"/>
              </w:rPr>
            </w:pPr>
            <w:r>
              <w:rPr>
                <w:rFonts w:hint="eastAsia" w:ascii="宋体" w:hAnsi="宋体" w:cs="宋体"/>
                <w:color w:val="000000"/>
                <w:sz w:val="21"/>
                <w:szCs w:val="21"/>
              </w:rPr>
              <w:t>耦合器</w:t>
            </w:r>
          </w:p>
        </w:tc>
      </w:tr>
    </w:tbl>
    <w:p>
      <w:pPr>
        <w:spacing w:beforeLines="50" w:line="360" w:lineRule="auto"/>
        <w:rPr>
          <w:rFonts w:ascii="宋体"/>
          <w:b/>
          <w:bCs/>
          <w:snapToGrid w:val="0"/>
          <w:color w:val="000000"/>
          <w:kern w:val="0"/>
        </w:rPr>
      </w:pPr>
      <w:r>
        <w:rPr>
          <w:rFonts w:ascii="宋体" w:hAnsi="宋体" w:cs="宋体"/>
          <w:b/>
          <w:bCs/>
          <w:snapToGrid w:val="0"/>
          <w:color w:val="000000"/>
          <w:kern w:val="0"/>
        </w:rPr>
        <w:t xml:space="preserve">2.2 </w:t>
      </w:r>
      <w:r>
        <w:rPr>
          <w:rFonts w:hint="eastAsia" w:ascii="宋体" w:hAnsi="宋体" w:cs="宋体"/>
          <w:b/>
          <w:bCs/>
          <w:snapToGrid w:val="0"/>
          <w:color w:val="000000"/>
          <w:kern w:val="0"/>
        </w:rPr>
        <w:t>产品种类</w:t>
      </w:r>
    </w:p>
    <w:p>
      <w:pPr>
        <w:spacing w:line="360" w:lineRule="auto"/>
        <w:ind w:firstLine="420" w:firstLineChars="200"/>
        <w:rPr>
          <w:rFonts w:ascii="宋体"/>
          <w:b/>
          <w:bCs/>
          <w:snapToGrid w:val="0"/>
          <w:color w:val="000000"/>
          <w:kern w:val="0"/>
        </w:rPr>
      </w:pPr>
      <w:r>
        <w:rPr>
          <w:rFonts w:hint="eastAsia" w:ascii="宋体" w:hAnsi="宋体" w:cs="宋体"/>
          <w:color w:val="000000"/>
        </w:rPr>
        <w:t>家用和类似用途器具耦合器产品包括连接器、器具输入插座、插头连接器、器具输出插座、电线组件（连接器部分）等。</w:t>
      </w:r>
    </w:p>
    <w:p>
      <w:pPr>
        <w:snapToGrid w:val="0"/>
        <w:spacing w:beforeLines="50" w:line="360" w:lineRule="auto"/>
        <w:rPr>
          <w:rFonts w:ascii="宋体"/>
          <w:b/>
          <w:bCs/>
          <w:color w:val="000000"/>
        </w:rPr>
      </w:pPr>
      <w:r>
        <w:rPr>
          <w:rFonts w:ascii="宋体" w:hAnsi="宋体" w:cs="宋体"/>
          <w:b/>
          <w:bCs/>
          <w:color w:val="000000"/>
        </w:rPr>
        <w:t xml:space="preserve">3 </w:t>
      </w:r>
      <w:r>
        <w:rPr>
          <w:rFonts w:hint="eastAsia" w:ascii="宋体" w:hAnsi="宋体" w:cs="宋体"/>
          <w:b/>
          <w:bCs/>
          <w:color w:val="000000"/>
        </w:rPr>
        <w:t>术语和定义</w:t>
      </w:r>
    </w:p>
    <w:p>
      <w:pPr>
        <w:snapToGrid w:val="0"/>
        <w:spacing w:line="360" w:lineRule="auto"/>
        <w:ind w:firstLine="420" w:firstLineChars="200"/>
        <w:rPr>
          <w:rFonts w:ascii="宋体"/>
          <w:b/>
          <w:bCs/>
          <w:color w:val="000000"/>
        </w:rPr>
      </w:pPr>
      <w:r>
        <w:rPr>
          <w:rFonts w:hint="eastAsia" w:ascii="宋体" w:hAnsi="宋体" w:cs="宋体"/>
          <w:snapToGrid w:val="0"/>
          <w:color w:val="000000"/>
          <w:kern w:val="0"/>
        </w:rPr>
        <w:t>本细则中未列出的术语和定义同相关引用标准。</w:t>
      </w:r>
    </w:p>
    <w:p>
      <w:pPr>
        <w:snapToGrid w:val="0"/>
        <w:spacing w:beforeLines="50" w:line="360" w:lineRule="auto"/>
        <w:rPr>
          <w:rFonts w:ascii="宋体"/>
          <w:b/>
          <w:bCs/>
          <w:color w:val="000000"/>
        </w:rPr>
      </w:pPr>
      <w:r>
        <w:rPr>
          <w:rFonts w:ascii="宋体" w:hAnsi="宋体" w:cs="宋体"/>
          <w:b/>
          <w:bCs/>
          <w:color w:val="000000"/>
        </w:rPr>
        <w:t xml:space="preserve">4 </w:t>
      </w:r>
      <w:r>
        <w:rPr>
          <w:rFonts w:hint="eastAsia" w:ascii="宋体" w:hAnsi="宋体" w:cs="宋体"/>
          <w:b/>
          <w:bCs/>
          <w:color w:val="000000"/>
        </w:rPr>
        <w:t>企业产品生产规模划分</w:t>
      </w:r>
    </w:p>
    <w:p>
      <w:pPr>
        <w:snapToGrid w:val="0"/>
        <w:spacing w:line="360" w:lineRule="auto"/>
        <w:ind w:firstLine="420" w:firstLineChars="200"/>
        <w:rPr>
          <w:rFonts w:ascii="宋体"/>
          <w:b/>
          <w:bCs/>
          <w:color w:val="000000"/>
        </w:rPr>
      </w:pPr>
      <w:r>
        <w:rPr>
          <w:rFonts w:hint="eastAsia" w:ascii="宋体" w:hAnsi="宋体" w:cs="宋体"/>
          <w:snapToGrid w:val="0"/>
          <w:color w:val="000000"/>
          <w:kern w:val="0"/>
        </w:rPr>
        <w:t>根据器具耦合器产品行业的实际情况，生产企业规模以器具耦合器产品年销售额为标准划分为大、中、小型企业，见表</w:t>
      </w:r>
      <w:r>
        <w:rPr>
          <w:rFonts w:ascii="宋体" w:hAnsi="宋体" w:cs="宋体"/>
          <w:snapToGrid w:val="0"/>
          <w:color w:val="000000"/>
          <w:kern w:val="0"/>
        </w:rPr>
        <w:t>2</w:t>
      </w:r>
      <w:r>
        <w:rPr>
          <w:rFonts w:hint="eastAsia" w:ascii="宋体" w:hAnsi="宋体" w:cs="宋体"/>
          <w:snapToGrid w:val="0"/>
          <w:color w:val="000000"/>
          <w:kern w:val="0"/>
        </w:rPr>
        <w:t>。</w:t>
      </w:r>
    </w:p>
    <w:p>
      <w:pPr>
        <w:jc w:val="center"/>
        <w:rPr>
          <w:rFonts w:ascii="宋体" w:hAnsi="宋体" w:cs="宋体"/>
          <w:b/>
          <w:bCs/>
          <w:snapToGrid w:val="0"/>
          <w:color w:val="000000"/>
          <w:kern w:val="0"/>
          <w:sz w:val="21"/>
          <w:szCs w:val="21"/>
        </w:rPr>
      </w:pPr>
      <w:r>
        <w:rPr>
          <w:rFonts w:hint="eastAsia" w:ascii="宋体" w:hAnsi="宋体" w:cs="宋体"/>
          <w:b/>
          <w:bCs/>
          <w:snapToGrid w:val="0"/>
          <w:color w:val="000000"/>
          <w:kern w:val="0"/>
          <w:sz w:val="21"/>
          <w:szCs w:val="21"/>
        </w:rPr>
        <w:t>表</w:t>
      </w:r>
      <w:r>
        <w:rPr>
          <w:rFonts w:ascii="宋体" w:hAnsi="宋体" w:cs="宋体"/>
          <w:b/>
          <w:bCs/>
          <w:snapToGrid w:val="0"/>
          <w:color w:val="000000"/>
          <w:kern w:val="0"/>
          <w:sz w:val="21"/>
          <w:szCs w:val="21"/>
        </w:rPr>
        <w:t xml:space="preserve">2  </w:t>
      </w:r>
      <w:r>
        <w:rPr>
          <w:rFonts w:hint="eastAsia" w:ascii="宋体" w:hAnsi="宋体" w:cs="宋体"/>
          <w:b/>
          <w:bCs/>
          <w:snapToGrid w:val="0"/>
          <w:color w:val="000000"/>
          <w:kern w:val="0"/>
          <w:sz w:val="21"/>
          <w:szCs w:val="21"/>
        </w:rPr>
        <w:t>企业器具耦合器产品生产规模划分</w:t>
      </w:r>
    </w:p>
    <w:tbl>
      <w:tblPr>
        <w:tblStyle w:val="32"/>
        <w:tblW w:w="86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5"/>
        <w:gridCol w:w="2156"/>
        <w:gridCol w:w="2156"/>
        <w:gridCol w:w="2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5" w:hRule="atLeast"/>
          <w:jc w:val="center"/>
        </w:trPr>
        <w:tc>
          <w:tcPr>
            <w:tcW w:w="2155" w:type="dxa"/>
            <w:shd w:val="clear" w:color="auto" w:fill="auto"/>
            <w:vAlign w:val="center"/>
          </w:tcPr>
          <w:p>
            <w:pPr>
              <w:snapToGrid w:val="0"/>
              <w:spacing w:line="320" w:lineRule="exact"/>
              <w:jc w:val="center"/>
              <w:rPr>
                <w:rFonts w:ascii="宋体" w:hAnsi="宋体"/>
                <w:bCs/>
                <w:color w:val="000000"/>
                <w:kern w:val="0"/>
                <w:sz w:val="21"/>
                <w:szCs w:val="21"/>
              </w:rPr>
            </w:pPr>
            <w:r>
              <w:rPr>
                <w:rFonts w:hint="eastAsia" w:ascii="宋体" w:hAnsi="宋体" w:cs="宋体"/>
                <w:bCs/>
                <w:color w:val="000000"/>
                <w:kern w:val="0"/>
                <w:sz w:val="21"/>
                <w:szCs w:val="21"/>
              </w:rPr>
              <w:t>企业产品生产规模</w:t>
            </w:r>
          </w:p>
        </w:tc>
        <w:tc>
          <w:tcPr>
            <w:tcW w:w="2156" w:type="dxa"/>
            <w:shd w:val="clear" w:color="auto" w:fill="auto"/>
            <w:vAlign w:val="center"/>
          </w:tcPr>
          <w:p>
            <w:pPr>
              <w:snapToGrid w:val="0"/>
              <w:spacing w:line="320" w:lineRule="exact"/>
              <w:jc w:val="center"/>
              <w:rPr>
                <w:rFonts w:ascii="宋体" w:hAnsi="宋体"/>
                <w:bCs/>
                <w:color w:val="000000"/>
                <w:kern w:val="0"/>
                <w:sz w:val="21"/>
                <w:szCs w:val="21"/>
              </w:rPr>
            </w:pPr>
            <w:r>
              <w:rPr>
                <w:rFonts w:hint="eastAsia" w:ascii="宋体" w:hAnsi="宋体" w:cs="宋体"/>
                <w:bCs/>
                <w:color w:val="000000"/>
                <w:kern w:val="0"/>
                <w:sz w:val="21"/>
                <w:szCs w:val="21"/>
              </w:rPr>
              <w:t>大型企业</w:t>
            </w:r>
          </w:p>
        </w:tc>
        <w:tc>
          <w:tcPr>
            <w:tcW w:w="2156" w:type="dxa"/>
            <w:shd w:val="clear" w:color="auto" w:fill="auto"/>
            <w:vAlign w:val="center"/>
          </w:tcPr>
          <w:p>
            <w:pPr>
              <w:snapToGrid w:val="0"/>
              <w:spacing w:line="320" w:lineRule="exact"/>
              <w:jc w:val="center"/>
              <w:rPr>
                <w:rFonts w:ascii="宋体" w:hAnsi="宋体"/>
                <w:bCs/>
                <w:color w:val="000000"/>
                <w:kern w:val="0"/>
                <w:sz w:val="21"/>
                <w:szCs w:val="21"/>
              </w:rPr>
            </w:pPr>
            <w:r>
              <w:rPr>
                <w:rFonts w:hint="eastAsia" w:ascii="宋体" w:hAnsi="宋体" w:cs="宋体"/>
                <w:bCs/>
                <w:color w:val="000000"/>
                <w:kern w:val="0"/>
                <w:sz w:val="21"/>
                <w:szCs w:val="21"/>
              </w:rPr>
              <w:t>中型企业</w:t>
            </w:r>
          </w:p>
        </w:tc>
        <w:tc>
          <w:tcPr>
            <w:tcW w:w="2156" w:type="dxa"/>
            <w:shd w:val="clear" w:color="auto" w:fill="auto"/>
            <w:vAlign w:val="center"/>
          </w:tcPr>
          <w:p>
            <w:pPr>
              <w:snapToGrid w:val="0"/>
              <w:spacing w:line="320" w:lineRule="exact"/>
              <w:jc w:val="center"/>
              <w:rPr>
                <w:rFonts w:ascii="宋体" w:hAnsi="宋体"/>
                <w:bCs/>
                <w:color w:val="000000"/>
                <w:kern w:val="0"/>
                <w:sz w:val="21"/>
                <w:szCs w:val="21"/>
              </w:rPr>
            </w:pPr>
            <w:r>
              <w:rPr>
                <w:rFonts w:hint="eastAsia" w:ascii="宋体" w:hAnsi="宋体" w:cs="宋体"/>
                <w:bCs/>
                <w:color w:val="000000"/>
                <w:kern w:val="0"/>
                <w:sz w:val="21"/>
                <w:szCs w:val="21"/>
              </w:rPr>
              <w:t>小型企业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29" w:hRule="atLeast"/>
          <w:jc w:val="center"/>
        </w:trPr>
        <w:tc>
          <w:tcPr>
            <w:tcW w:w="2155" w:type="dxa"/>
            <w:shd w:val="clear" w:color="auto" w:fill="auto"/>
            <w:vAlign w:val="center"/>
          </w:tcPr>
          <w:p>
            <w:pPr>
              <w:snapToGrid w:val="0"/>
              <w:spacing w:line="320" w:lineRule="exact"/>
              <w:jc w:val="center"/>
              <w:rPr>
                <w:rFonts w:ascii="宋体" w:hAnsi="宋体"/>
                <w:color w:val="000000"/>
                <w:kern w:val="0"/>
                <w:sz w:val="21"/>
                <w:szCs w:val="21"/>
              </w:rPr>
            </w:pPr>
            <w:r>
              <w:rPr>
                <w:rFonts w:hint="eastAsia" w:ascii="宋体" w:hAnsi="宋体" w:cs="宋体"/>
                <w:color w:val="000000"/>
                <w:kern w:val="0"/>
                <w:sz w:val="21"/>
                <w:szCs w:val="21"/>
              </w:rPr>
              <w:t>年销售额</w:t>
            </w:r>
            <w:r>
              <w:rPr>
                <w:rFonts w:ascii="宋体" w:hAnsi="宋体" w:cs="宋体"/>
                <w:color w:val="000000"/>
                <w:kern w:val="0"/>
                <w:sz w:val="21"/>
                <w:szCs w:val="21"/>
              </w:rPr>
              <w:t>/</w:t>
            </w:r>
            <w:r>
              <w:rPr>
                <w:rFonts w:hint="eastAsia" w:ascii="宋体" w:hAnsi="宋体" w:cs="宋体"/>
                <w:color w:val="000000"/>
                <w:kern w:val="0"/>
                <w:sz w:val="21"/>
                <w:szCs w:val="21"/>
              </w:rPr>
              <w:t>万元</w:t>
            </w:r>
          </w:p>
        </w:tc>
        <w:tc>
          <w:tcPr>
            <w:tcW w:w="2156" w:type="dxa"/>
            <w:shd w:val="clear" w:color="auto" w:fill="auto"/>
          </w:tcPr>
          <w:p>
            <w:pPr>
              <w:snapToGrid w:val="0"/>
              <w:spacing w:line="440" w:lineRule="exact"/>
              <w:jc w:val="center"/>
              <w:rPr>
                <w:rFonts w:ascii="宋体" w:hAnsi="宋体"/>
                <w:sz w:val="21"/>
                <w:szCs w:val="21"/>
              </w:rPr>
            </w:pPr>
            <w:r>
              <w:rPr>
                <w:rFonts w:hint="eastAsia" w:ascii="宋体" w:hAnsi="宋体" w:cs="宋体"/>
                <w:sz w:val="21"/>
                <w:szCs w:val="21"/>
              </w:rPr>
              <w:t>≥</w:t>
            </w:r>
            <w:r>
              <w:rPr>
                <w:rFonts w:ascii="宋体" w:hAnsi="宋体"/>
                <w:sz w:val="21"/>
                <w:szCs w:val="21"/>
              </w:rPr>
              <w:t>10000</w:t>
            </w:r>
          </w:p>
        </w:tc>
        <w:tc>
          <w:tcPr>
            <w:tcW w:w="2156" w:type="dxa"/>
            <w:shd w:val="clear" w:color="auto" w:fill="auto"/>
          </w:tcPr>
          <w:p>
            <w:pPr>
              <w:snapToGrid w:val="0"/>
              <w:spacing w:line="440" w:lineRule="exact"/>
              <w:jc w:val="center"/>
              <w:rPr>
                <w:rFonts w:ascii="宋体" w:hAnsi="宋体"/>
                <w:sz w:val="21"/>
                <w:szCs w:val="21"/>
              </w:rPr>
            </w:pPr>
            <w:r>
              <w:rPr>
                <w:rFonts w:hint="eastAsia" w:ascii="宋体" w:hAnsi="宋体" w:cs="宋体"/>
                <w:sz w:val="21"/>
                <w:szCs w:val="21"/>
              </w:rPr>
              <w:t>≥</w:t>
            </w:r>
            <w:r>
              <w:rPr>
                <w:rFonts w:ascii="宋体" w:hAnsi="宋体"/>
                <w:sz w:val="21"/>
                <w:szCs w:val="21"/>
              </w:rPr>
              <w:t>2000</w:t>
            </w:r>
            <w:r>
              <w:rPr>
                <w:rFonts w:hint="eastAsia" w:ascii="宋体" w:hAnsi="宋体" w:cs="宋体"/>
                <w:sz w:val="21"/>
                <w:szCs w:val="21"/>
              </w:rPr>
              <w:t>且＜</w:t>
            </w:r>
            <w:r>
              <w:rPr>
                <w:rFonts w:ascii="宋体" w:hAnsi="宋体"/>
                <w:sz w:val="21"/>
                <w:szCs w:val="21"/>
              </w:rPr>
              <w:t xml:space="preserve">10000 </w:t>
            </w:r>
          </w:p>
        </w:tc>
        <w:tc>
          <w:tcPr>
            <w:tcW w:w="2156" w:type="dxa"/>
            <w:shd w:val="clear" w:color="auto" w:fill="auto"/>
          </w:tcPr>
          <w:p>
            <w:pPr>
              <w:snapToGrid w:val="0"/>
              <w:spacing w:line="440" w:lineRule="exact"/>
              <w:jc w:val="center"/>
              <w:rPr>
                <w:rFonts w:ascii="宋体" w:hAnsi="宋体"/>
                <w:sz w:val="21"/>
                <w:szCs w:val="21"/>
              </w:rPr>
            </w:pPr>
            <w:r>
              <w:rPr>
                <w:rFonts w:hint="eastAsia" w:ascii="宋体" w:hAnsi="宋体" w:cs="宋体"/>
                <w:sz w:val="21"/>
                <w:szCs w:val="21"/>
              </w:rPr>
              <w:t>＜</w:t>
            </w:r>
            <w:r>
              <w:rPr>
                <w:rFonts w:ascii="宋体" w:hAnsi="宋体"/>
                <w:sz w:val="21"/>
                <w:szCs w:val="21"/>
              </w:rPr>
              <w:t>2000</w:t>
            </w:r>
          </w:p>
        </w:tc>
      </w:tr>
    </w:tbl>
    <w:p>
      <w:pPr>
        <w:spacing w:line="360" w:lineRule="auto"/>
        <w:ind w:firstLine="360" w:firstLineChars="200"/>
        <w:rPr>
          <w:rFonts w:ascii="宋体"/>
          <w:snapToGrid w:val="0"/>
          <w:color w:val="000000"/>
          <w:kern w:val="0"/>
          <w:sz w:val="18"/>
          <w:szCs w:val="18"/>
        </w:rPr>
      </w:pPr>
      <w:r>
        <w:rPr>
          <w:rFonts w:hint="eastAsia" w:ascii="宋体" w:hAnsi="宋体" w:cs="宋体"/>
          <w:snapToGrid w:val="0"/>
          <w:color w:val="000000"/>
          <w:kern w:val="0"/>
          <w:sz w:val="18"/>
          <w:szCs w:val="18"/>
        </w:rPr>
        <w:t>注：年销售额包括器具耦合器产品的内销和外销总额。</w:t>
      </w:r>
    </w:p>
    <w:p>
      <w:pPr>
        <w:snapToGrid w:val="0"/>
        <w:spacing w:beforeLines="50" w:line="360" w:lineRule="auto"/>
        <w:rPr>
          <w:rFonts w:ascii="宋体"/>
          <w:b/>
          <w:bCs/>
          <w:color w:val="000000"/>
        </w:rPr>
      </w:pPr>
      <w:r>
        <w:rPr>
          <w:rFonts w:ascii="宋体" w:hAnsi="宋体" w:cs="宋体"/>
          <w:b/>
          <w:bCs/>
          <w:color w:val="000000"/>
        </w:rPr>
        <w:t xml:space="preserve">5 </w:t>
      </w:r>
      <w:r>
        <w:rPr>
          <w:rFonts w:hint="eastAsia" w:ascii="宋体" w:hAnsi="宋体" w:cs="宋体"/>
          <w:b/>
          <w:bCs/>
          <w:color w:val="000000"/>
        </w:rPr>
        <w:t>检验依据</w:t>
      </w:r>
    </w:p>
    <w:p>
      <w:pPr>
        <w:spacing w:line="360" w:lineRule="auto"/>
        <w:ind w:firstLine="420" w:firstLineChars="200"/>
        <w:rPr>
          <w:snapToGrid w:val="0"/>
        </w:rPr>
      </w:pPr>
      <w:r>
        <w:rPr>
          <w:rFonts w:hint="eastAsia"/>
          <w:snapToGrid w:val="0"/>
        </w:rPr>
        <w:t>凡是注日期的引用文件，仅注日期的版本适用于本细则。凡是不注日期的引用文件，其最新版本（包括所有的修改单）适用于本细则。</w:t>
      </w:r>
    </w:p>
    <w:p>
      <w:pPr>
        <w:spacing w:line="520" w:lineRule="exact"/>
        <w:ind w:firstLine="420" w:firstLineChars="200"/>
        <w:rPr>
          <w:snapToGrid w:val="0"/>
        </w:rPr>
      </w:pPr>
      <w:r>
        <w:rPr>
          <w:rFonts w:hint="eastAsia"/>
          <w:snapToGrid w:val="0"/>
        </w:rPr>
        <w:t>GB</w:t>
      </w:r>
      <w:r>
        <w:rPr>
          <w:snapToGrid w:val="0"/>
        </w:rPr>
        <w:t xml:space="preserve">/T </w:t>
      </w:r>
      <w:r>
        <w:rPr>
          <w:rFonts w:hint="eastAsia"/>
          <w:snapToGrid w:val="0"/>
        </w:rPr>
        <w:t>17465.1-2009  家用和类似用途的器具耦合器  第1部分 通用要求</w:t>
      </w:r>
    </w:p>
    <w:p>
      <w:pPr>
        <w:spacing w:line="520" w:lineRule="exact"/>
        <w:ind w:firstLine="420" w:firstLineChars="200"/>
        <w:rPr>
          <w:snapToGrid w:val="0"/>
        </w:rPr>
      </w:pPr>
      <w:r>
        <w:rPr>
          <w:rFonts w:hint="eastAsia"/>
          <w:snapToGrid w:val="0"/>
        </w:rPr>
        <w:t>GB</w:t>
      </w:r>
      <w:r>
        <w:rPr>
          <w:snapToGrid w:val="0"/>
        </w:rPr>
        <w:t xml:space="preserve">/T </w:t>
      </w:r>
      <w:r>
        <w:rPr>
          <w:rFonts w:hint="eastAsia"/>
          <w:snapToGrid w:val="0"/>
        </w:rPr>
        <w:t>17465.2-2009  家用和类似用途的器具耦合器  第2部分：家用和类似设备用互连耦合器</w:t>
      </w:r>
    </w:p>
    <w:p>
      <w:pPr>
        <w:spacing w:line="360" w:lineRule="auto"/>
        <w:ind w:firstLine="420" w:firstLineChars="200"/>
        <w:rPr>
          <w:snapToGrid w:val="0"/>
          <w:color w:val="000000"/>
        </w:rPr>
      </w:pPr>
      <w:r>
        <w:rPr>
          <w:rFonts w:hint="eastAsia"/>
          <w:snapToGrid w:val="0"/>
          <w:color w:val="000000"/>
        </w:rPr>
        <w:t>相关的法律法规、部门规章和规范</w:t>
      </w:r>
    </w:p>
    <w:p>
      <w:pPr>
        <w:spacing w:line="360" w:lineRule="auto"/>
        <w:ind w:firstLine="420" w:firstLineChars="200"/>
        <w:rPr>
          <w:snapToGrid w:val="0"/>
          <w:color w:val="000000"/>
        </w:rPr>
      </w:pPr>
      <w:r>
        <w:rPr>
          <w:rFonts w:hint="eastAsia"/>
          <w:snapToGrid w:val="0"/>
          <w:color w:val="000000"/>
        </w:rPr>
        <w:t>企业明示标准及产品明示质量要求</w:t>
      </w:r>
      <w:r>
        <w:rPr>
          <w:rFonts w:hint="eastAsia"/>
          <w:snapToGrid w:val="0"/>
          <w:color w:val="000000"/>
          <w:lang w:eastAsia="zh-CN"/>
        </w:rPr>
        <w:t>。</w:t>
      </w:r>
    </w:p>
    <w:p>
      <w:pPr>
        <w:snapToGrid w:val="0"/>
        <w:spacing w:beforeLines="50" w:line="360" w:lineRule="auto"/>
        <w:rPr>
          <w:rFonts w:ascii="宋体"/>
          <w:b/>
          <w:bCs/>
          <w:color w:val="000000"/>
        </w:rPr>
      </w:pPr>
      <w:r>
        <w:rPr>
          <w:rFonts w:ascii="宋体" w:hAnsi="宋体" w:cs="宋体"/>
          <w:b/>
          <w:bCs/>
          <w:color w:val="000000"/>
        </w:rPr>
        <w:t xml:space="preserve">6 </w:t>
      </w:r>
      <w:r>
        <w:rPr>
          <w:rFonts w:hint="eastAsia" w:ascii="宋体" w:hAnsi="宋体" w:cs="宋体"/>
          <w:b/>
          <w:bCs/>
          <w:color w:val="000000"/>
        </w:rPr>
        <w:t>抽样</w:t>
      </w:r>
    </w:p>
    <w:p>
      <w:pPr>
        <w:snapToGrid w:val="0"/>
        <w:spacing w:line="360" w:lineRule="auto"/>
        <w:rPr>
          <w:rFonts w:ascii="宋体"/>
          <w:b/>
          <w:bCs/>
          <w:color w:val="000000"/>
          <w:kern w:val="0"/>
        </w:rPr>
      </w:pPr>
      <w:r>
        <w:rPr>
          <w:rFonts w:ascii="宋体" w:cs="宋体"/>
          <w:b/>
          <w:bCs/>
          <w:color w:val="000000"/>
          <w:kern w:val="0"/>
        </w:rPr>
        <w:t xml:space="preserve">6.1 </w:t>
      </w:r>
      <w:r>
        <w:rPr>
          <w:rFonts w:hint="eastAsia" w:ascii="宋体" w:cs="宋体"/>
          <w:b/>
          <w:bCs/>
          <w:color w:val="000000"/>
          <w:kern w:val="0"/>
        </w:rPr>
        <w:t>抽样型号或规格</w:t>
      </w:r>
    </w:p>
    <w:p>
      <w:pPr>
        <w:spacing w:line="360" w:lineRule="auto"/>
        <w:ind w:firstLine="420" w:firstLineChars="200"/>
        <w:rPr>
          <w:rFonts w:ascii="宋体"/>
          <w:color w:val="000000"/>
          <w:kern w:val="0"/>
          <w:szCs w:val="21"/>
        </w:rPr>
      </w:pPr>
      <w:r>
        <w:rPr>
          <w:rFonts w:hint="eastAsia" w:ascii="宋体" w:hAnsi="宋体"/>
          <w:color w:val="000000"/>
          <w:szCs w:val="21"/>
        </w:rPr>
        <w:t>样品在同一产品种类、同一型号规格、同一批次的产品中抽取。</w:t>
      </w:r>
    </w:p>
    <w:p>
      <w:pPr>
        <w:snapToGrid w:val="0"/>
        <w:spacing w:line="360" w:lineRule="auto"/>
        <w:rPr>
          <w:rFonts w:ascii="宋体"/>
          <w:b/>
          <w:bCs/>
          <w:color w:val="000000"/>
          <w:kern w:val="0"/>
        </w:rPr>
      </w:pPr>
      <w:r>
        <w:rPr>
          <w:rFonts w:ascii="宋体" w:cs="宋体"/>
          <w:b/>
          <w:bCs/>
          <w:color w:val="000000"/>
          <w:kern w:val="0"/>
        </w:rPr>
        <w:t xml:space="preserve">6.2 </w:t>
      </w:r>
      <w:r>
        <w:rPr>
          <w:rFonts w:hint="eastAsia" w:ascii="宋体" w:cs="宋体"/>
          <w:b/>
          <w:bCs/>
          <w:color w:val="000000"/>
          <w:kern w:val="0"/>
        </w:rPr>
        <w:t>抽样方法、基数及数量</w:t>
      </w:r>
    </w:p>
    <w:p>
      <w:pPr>
        <w:snapToGrid w:val="0"/>
        <w:spacing w:line="360" w:lineRule="auto"/>
        <w:ind w:firstLine="420" w:firstLineChars="200"/>
        <w:rPr>
          <w:rFonts w:cs="宋体"/>
          <w:kern w:val="0"/>
        </w:rPr>
      </w:pPr>
      <w:r>
        <w:rPr>
          <w:rFonts w:hint="eastAsia" w:cs="宋体"/>
          <w:kern w:val="0"/>
        </w:rPr>
        <w:t>在企业的成品库内、成品堆放区随机抽取有产品质量检验合格证明或者以其他形式表明合格的、近期生产的产品（特殊情况除外）。</w:t>
      </w:r>
    </w:p>
    <w:p>
      <w:pPr>
        <w:snapToGrid w:val="0"/>
        <w:spacing w:line="360" w:lineRule="auto"/>
        <w:ind w:firstLine="420" w:firstLineChars="200"/>
        <w:rPr>
          <w:rFonts w:ascii="宋体"/>
          <w:color w:val="000000"/>
          <w:kern w:val="0"/>
        </w:rPr>
      </w:pPr>
      <w:r>
        <w:rPr>
          <w:rFonts w:hint="eastAsia" w:cs="宋体"/>
          <w:kern w:val="0"/>
        </w:rPr>
        <w:t>抽样基数满足抽样数量即可。</w:t>
      </w:r>
    </w:p>
    <w:p>
      <w:pPr>
        <w:snapToGrid w:val="0"/>
        <w:spacing w:line="360" w:lineRule="auto"/>
        <w:ind w:firstLine="420" w:firstLineChars="200"/>
        <w:rPr>
          <w:rFonts w:hint="eastAsia" w:ascii="宋体" w:cs="宋体"/>
          <w:kern w:val="0"/>
        </w:rPr>
      </w:pPr>
      <w:r>
        <w:rPr>
          <w:rFonts w:hint="eastAsia" w:ascii="宋体" w:cs="宋体"/>
          <w:color w:val="000000"/>
          <w:kern w:val="0"/>
        </w:rPr>
        <w:t>每个企业按不同的产品类型抽取不多于2种不同规格型号的样品，随机抽</w:t>
      </w:r>
      <w:r>
        <w:rPr>
          <w:rFonts w:hint="eastAsia" w:ascii="宋体" w:cs="宋体"/>
          <w:kern w:val="0"/>
        </w:rPr>
        <w:t>取同一种规格型号</w:t>
      </w:r>
      <w:r>
        <w:rPr>
          <w:rFonts w:ascii="宋体" w:cs="宋体"/>
          <w:kern w:val="0"/>
        </w:rPr>
        <w:t>16</w:t>
      </w:r>
      <w:r>
        <w:rPr>
          <w:rFonts w:hint="eastAsia" w:ascii="宋体" w:cs="宋体"/>
          <w:kern w:val="0"/>
        </w:rPr>
        <w:t>个产品，其中</w:t>
      </w:r>
      <w:r>
        <w:rPr>
          <w:rFonts w:ascii="宋体" w:cs="宋体"/>
          <w:kern w:val="0"/>
        </w:rPr>
        <w:t>10</w:t>
      </w:r>
      <w:r>
        <w:rPr>
          <w:rFonts w:hint="eastAsia" w:ascii="宋体" w:cs="宋体"/>
          <w:kern w:val="0"/>
        </w:rPr>
        <w:t>个作为检验样品，</w:t>
      </w:r>
      <w:r>
        <w:rPr>
          <w:rFonts w:ascii="宋体" w:cs="宋体"/>
          <w:kern w:val="0"/>
        </w:rPr>
        <w:t>6</w:t>
      </w:r>
      <w:r>
        <w:rPr>
          <w:rFonts w:hint="eastAsia" w:ascii="宋体" w:cs="宋体"/>
          <w:kern w:val="0"/>
        </w:rPr>
        <w:t>个作为备用样品。</w:t>
      </w:r>
    </w:p>
    <w:p>
      <w:pPr>
        <w:snapToGrid w:val="0"/>
        <w:spacing w:line="360" w:lineRule="auto"/>
        <w:ind w:firstLine="403" w:firstLineChars="192"/>
        <w:rPr>
          <w:rFonts w:cs="宋体"/>
          <w:kern w:val="0"/>
        </w:rPr>
      </w:pPr>
      <w:r>
        <w:rPr>
          <w:rFonts w:hint="eastAsia" w:cs="宋体"/>
          <w:kern w:val="0"/>
        </w:rPr>
        <w:t>随机数一般可使用随机数表、骰子或扑克牌等方法产生。</w:t>
      </w:r>
    </w:p>
    <w:p>
      <w:pPr>
        <w:snapToGrid w:val="0"/>
        <w:spacing w:line="360" w:lineRule="auto"/>
        <w:rPr>
          <w:rFonts w:ascii="宋体"/>
          <w:b/>
          <w:bCs/>
          <w:color w:val="000000"/>
          <w:kern w:val="0"/>
        </w:rPr>
      </w:pPr>
      <w:r>
        <w:rPr>
          <w:rFonts w:ascii="宋体" w:cs="宋体"/>
          <w:b/>
          <w:bCs/>
          <w:color w:val="000000"/>
          <w:kern w:val="0"/>
        </w:rPr>
        <w:t xml:space="preserve">6.3 </w:t>
      </w:r>
      <w:r>
        <w:rPr>
          <w:rFonts w:hint="eastAsia" w:ascii="宋体" w:cs="宋体"/>
          <w:b/>
          <w:bCs/>
          <w:color w:val="000000"/>
          <w:kern w:val="0"/>
        </w:rPr>
        <w:t>样品处置</w:t>
      </w:r>
    </w:p>
    <w:p>
      <w:pPr>
        <w:adjustRightInd w:val="0"/>
        <w:snapToGrid w:val="0"/>
        <w:spacing w:line="360" w:lineRule="auto"/>
        <w:ind w:firstLine="420" w:firstLineChars="200"/>
        <w:rPr>
          <w:rFonts w:ascii="宋体"/>
          <w:color w:val="000000"/>
        </w:rPr>
      </w:pPr>
      <w:bookmarkStart w:id="0" w:name="OLE_LINK2"/>
      <w:r>
        <w:rPr>
          <w:rFonts w:hint="eastAsia" w:ascii="宋体" w:hAnsi="宋体" w:cs="宋体"/>
          <w:color w:val="000000"/>
        </w:rPr>
        <w:t>抽样人员在抽样现场应立即对抽取的检验样品及备用样品分别封样，封样时应当有防拆封措施，以保证样品的真实性。抽样人员负责把检验样品及备用样品寄、送至指定的检验机构相关部门，备样应封存在检验机构。如样品标签上标明特殊储存要求，样品应按要求进行处置。</w:t>
      </w:r>
      <w:bookmarkEnd w:id="0"/>
    </w:p>
    <w:p>
      <w:pPr>
        <w:adjustRightInd w:val="0"/>
        <w:snapToGrid w:val="0"/>
        <w:spacing w:line="360" w:lineRule="auto"/>
        <w:rPr>
          <w:rFonts w:ascii="宋体"/>
          <w:color w:val="000000"/>
        </w:rPr>
      </w:pPr>
      <w:r>
        <w:rPr>
          <w:rFonts w:ascii="宋体" w:cs="宋体"/>
          <w:b/>
          <w:bCs/>
          <w:color w:val="000000"/>
          <w:kern w:val="0"/>
        </w:rPr>
        <w:t>6.4</w:t>
      </w:r>
      <w:r>
        <w:rPr>
          <w:rFonts w:hint="eastAsia" w:ascii="宋体" w:cs="宋体"/>
          <w:b/>
          <w:bCs/>
          <w:color w:val="000000"/>
          <w:kern w:val="0"/>
        </w:rPr>
        <w:t>抽样单</w:t>
      </w:r>
    </w:p>
    <w:p>
      <w:pPr>
        <w:adjustRightInd w:val="0"/>
        <w:snapToGrid w:val="0"/>
        <w:spacing w:line="360" w:lineRule="auto"/>
        <w:ind w:firstLine="420" w:firstLineChars="200"/>
        <w:rPr>
          <w:rFonts w:ascii="宋体" w:hAnsi="宋体" w:cs="宋体"/>
          <w:color w:val="000000"/>
        </w:rPr>
      </w:pPr>
      <w:r>
        <w:rPr>
          <w:rFonts w:hint="eastAsia" w:ascii="宋体" w:hAnsi="宋体" w:cs="宋体"/>
          <w:color w:val="000000"/>
        </w:rPr>
        <w:t>应按有关规定填写抽样单，并记录被抽查产品及企业相关信息。同时记录被抽查企业上一年度生产的插头插座产品销售总额（以万元计）。若被抽查企业上一年未生产此类产品，记录本年度已实际生产此类产品的销售总额，并加以注明。对于产品检验所需样品技术参数等信息，需要被抽企业提供的，应在抽样现场获取，并经企业确认。</w:t>
      </w:r>
    </w:p>
    <w:p>
      <w:pPr>
        <w:spacing w:line="360" w:lineRule="auto"/>
        <w:rPr>
          <w:rFonts w:ascii="宋体" w:hAnsi="宋体" w:cs="宋体"/>
          <w:b/>
          <w:kern w:val="0"/>
        </w:rPr>
      </w:pPr>
      <w:r>
        <w:rPr>
          <w:rFonts w:hint="eastAsia" w:ascii="宋体" w:hAnsi="宋体" w:cs="宋体"/>
          <w:b/>
          <w:kern w:val="0"/>
        </w:rPr>
        <w:t>6.5 其他说明</w:t>
      </w:r>
    </w:p>
    <w:p>
      <w:pPr>
        <w:spacing w:line="360" w:lineRule="auto"/>
        <w:ind w:firstLine="420" w:firstLineChars="200"/>
        <w:rPr>
          <w:rFonts w:ascii="宋体" w:hAnsi="宋体" w:cs="宋体"/>
          <w:kern w:val="0"/>
        </w:rPr>
      </w:pPr>
      <w:r>
        <w:rPr>
          <w:rFonts w:hint="eastAsia" w:ascii="宋体" w:hAnsi="宋体" w:cs="宋体"/>
          <w:kern w:val="0"/>
        </w:rPr>
        <w:t>1）抽样人员必须认真核对产品外包装上的内容和包装内产品的标签内容是否一致，被抽样品必须有厂名、厂址、生产日期或批号、执行标准号，标称合格或有合格证，产品外包装完整，产品外包装上的内容和包装内的产品标签内容必须一致。</w:t>
      </w:r>
    </w:p>
    <w:p>
      <w:pPr>
        <w:spacing w:line="360" w:lineRule="auto"/>
        <w:ind w:firstLine="420" w:firstLineChars="200"/>
        <w:rPr>
          <w:rFonts w:ascii="宋体" w:hAnsi="宋体" w:cs="宋体"/>
          <w:kern w:val="0"/>
        </w:rPr>
      </w:pPr>
      <w:r>
        <w:rPr>
          <w:rFonts w:hint="eastAsia" w:ascii="宋体" w:hAnsi="宋体" w:cs="宋体"/>
          <w:kern w:val="0"/>
        </w:rPr>
        <w:t>2）抽样过程中，抽样人员必须核查被抽的样品是否有厂名、厂址、生产日期或批号、执行标准号等，2个（套）样品是否一样，外包装是否完整，包装内的附件是否完整，产品外包装上的内容和包装内的产品标签内容是否一致，如果有差别，填写抽样单时必须以包装内产品的标签内容为准；填写抽样单时，必须核对样品标签上的产品名称、型号规格以及生产日期，必须用正楷字完整填写抽样单，企业签名和抽样人员签名必须可辨。</w:t>
      </w:r>
    </w:p>
    <w:p>
      <w:pPr>
        <w:spacing w:line="360" w:lineRule="auto"/>
        <w:ind w:firstLine="420" w:firstLineChars="200"/>
        <w:rPr>
          <w:rFonts w:ascii="宋体" w:hAnsi="宋体" w:cs="宋体"/>
          <w:kern w:val="0"/>
        </w:rPr>
      </w:pPr>
      <w:r>
        <w:rPr>
          <w:rFonts w:hint="eastAsia" w:ascii="宋体" w:hAnsi="宋体" w:cs="宋体"/>
          <w:kern w:val="0"/>
        </w:rPr>
        <w:t>2）所抽样品应采取可靠、有效的措施，防止样品在运输、储存过程中发生丢失、失效。</w:t>
      </w:r>
    </w:p>
    <w:p>
      <w:pPr>
        <w:spacing w:line="360" w:lineRule="auto"/>
        <w:ind w:firstLine="420" w:firstLineChars="200"/>
        <w:rPr>
          <w:rFonts w:ascii="宋体" w:hAnsi="宋体" w:cs="宋体"/>
          <w:kern w:val="0"/>
        </w:rPr>
      </w:pPr>
      <w:r>
        <w:rPr>
          <w:rFonts w:hint="eastAsia" w:ascii="宋体" w:hAnsi="宋体" w:cs="宋体"/>
          <w:kern w:val="0"/>
        </w:rPr>
        <w:t>3）所抽样品应用封条加贴在每一个可能被拆开的包装开口处以防止随便开封和换掉样品，检验用样品和备用样品必须分别封样，不能混封在一起。</w:t>
      </w:r>
    </w:p>
    <w:p>
      <w:pPr>
        <w:spacing w:line="360" w:lineRule="auto"/>
        <w:ind w:firstLine="420" w:firstLineChars="200"/>
        <w:rPr>
          <w:rFonts w:ascii="宋体" w:hAnsi="宋体" w:cs="宋体"/>
          <w:kern w:val="0"/>
        </w:rPr>
      </w:pPr>
      <w:r>
        <w:rPr>
          <w:rFonts w:hint="eastAsia" w:ascii="宋体" w:hAnsi="宋体" w:cs="宋体"/>
          <w:kern w:val="0"/>
        </w:rPr>
        <w:t>4）抽查中要兼顾大、中、小型企业。</w:t>
      </w:r>
    </w:p>
    <w:p>
      <w:pPr>
        <w:spacing w:line="360" w:lineRule="auto"/>
        <w:ind w:firstLine="420" w:firstLineChars="200"/>
        <w:rPr>
          <w:rFonts w:hint="eastAsia" w:ascii="宋体" w:hAnsi="宋体" w:cs="宋体"/>
          <w:kern w:val="0"/>
        </w:rPr>
      </w:pPr>
      <w:r>
        <w:rPr>
          <w:rFonts w:hint="eastAsia" w:ascii="宋体" w:hAnsi="宋体" w:cs="宋体"/>
          <w:kern w:val="0"/>
        </w:rPr>
        <w:t>5）对于企业拒绝抽样要认真填写拒检认定表，记录拒绝抽样原因等信息。</w:t>
      </w:r>
    </w:p>
    <w:p>
      <w:pPr>
        <w:snapToGrid w:val="0"/>
        <w:spacing w:beforeLines="50" w:line="360" w:lineRule="auto"/>
        <w:rPr>
          <w:rFonts w:ascii="宋体"/>
          <w:b/>
          <w:bCs/>
          <w:color w:val="000000"/>
        </w:rPr>
      </w:pPr>
      <w:bookmarkStart w:id="6" w:name="_GoBack"/>
      <w:bookmarkEnd w:id="6"/>
      <w:r>
        <w:rPr>
          <w:rFonts w:ascii="宋体" w:hAnsi="宋体" w:cs="宋体"/>
          <w:b/>
          <w:bCs/>
          <w:color w:val="000000"/>
        </w:rPr>
        <w:t xml:space="preserve">7 </w:t>
      </w:r>
      <w:r>
        <w:rPr>
          <w:rFonts w:hint="eastAsia" w:ascii="宋体" w:hAnsi="宋体" w:cs="宋体"/>
          <w:b/>
          <w:bCs/>
          <w:color w:val="000000"/>
        </w:rPr>
        <w:t>检验要求</w:t>
      </w:r>
    </w:p>
    <w:p>
      <w:pPr>
        <w:snapToGrid w:val="0"/>
        <w:spacing w:line="360" w:lineRule="auto"/>
        <w:rPr>
          <w:rFonts w:ascii="宋体"/>
          <w:b/>
          <w:bCs/>
          <w:color w:val="000000"/>
        </w:rPr>
      </w:pPr>
      <w:r>
        <w:rPr>
          <w:rFonts w:ascii="宋体" w:hAnsi="宋体" w:cs="宋体"/>
          <w:b/>
          <w:bCs/>
          <w:snapToGrid w:val="0"/>
          <w:color w:val="000000"/>
          <w:kern w:val="0"/>
        </w:rPr>
        <w:t>7.1</w:t>
      </w:r>
      <w:r>
        <w:rPr>
          <w:rFonts w:hint="eastAsia" w:ascii="宋体" w:hAnsi="宋体" w:cs="宋体"/>
          <w:b/>
          <w:bCs/>
          <w:snapToGrid w:val="0"/>
          <w:color w:val="000000"/>
          <w:kern w:val="0"/>
        </w:rPr>
        <w:t>检验项目及重要程度分类</w:t>
      </w:r>
    </w:p>
    <w:p>
      <w:pPr>
        <w:snapToGrid w:val="0"/>
        <w:spacing w:line="360" w:lineRule="auto"/>
        <w:ind w:firstLine="420" w:firstLineChars="200"/>
        <w:rPr>
          <w:rFonts w:ascii="宋体"/>
          <w:b/>
          <w:bCs/>
          <w:color w:val="000000"/>
        </w:rPr>
      </w:pPr>
      <w:r>
        <w:rPr>
          <w:rFonts w:hint="eastAsia" w:ascii="宋体" w:hAnsi="宋体" w:cs="宋体"/>
          <w:snapToGrid w:val="0"/>
          <w:color w:val="000000"/>
          <w:kern w:val="0"/>
        </w:rPr>
        <w:t>检验项目及重要程度分类见表</w:t>
      </w:r>
      <w:r>
        <w:rPr>
          <w:rFonts w:ascii="宋体" w:hAnsi="宋体" w:cs="宋体"/>
          <w:snapToGrid w:val="0"/>
          <w:color w:val="000000"/>
          <w:kern w:val="0"/>
        </w:rPr>
        <w:t>3</w:t>
      </w:r>
      <w:r>
        <w:rPr>
          <w:rFonts w:hint="eastAsia" w:ascii="宋体" w:hAnsi="宋体" w:cs="宋体"/>
          <w:snapToGrid w:val="0"/>
          <w:color w:val="000000"/>
          <w:kern w:val="0"/>
        </w:rPr>
        <w:t>。</w:t>
      </w:r>
    </w:p>
    <w:p>
      <w:pPr>
        <w:snapToGrid w:val="0"/>
        <w:jc w:val="center"/>
        <w:rPr>
          <w:rFonts w:ascii="宋体" w:hAnsi="宋体"/>
          <w:b/>
          <w:bCs/>
          <w:color w:val="000000"/>
          <w:sz w:val="21"/>
          <w:szCs w:val="21"/>
        </w:rPr>
      </w:pPr>
      <w:r>
        <w:rPr>
          <w:rFonts w:hint="eastAsia" w:ascii="宋体" w:hAnsi="宋体" w:cs="宋体"/>
          <w:b/>
          <w:bCs/>
          <w:snapToGrid w:val="0"/>
          <w:color w:val="000000"/>
          <w:kern w:val="0"/>
          <w:sz w:val="21"/>
          <w:szCs w:val="21"/>
        </w:rPr>
        <w:t>表</w:t>
      </w:r>
      <w:r>
        <w:rPr>
          <w:rFonts w:ascii="宋体" w:hAnsi="宋体" w:cs="宋体"/>
          <w:b/>
          <w:bCs/>
          <w:snapToGrid w:val="0"/>
          <w:color w:val="000000"/>
          <w:kern w:val="0"/>
          <w:sz w:val="21"/>
          <w:szCs w:val="21"/>
        </w:rPr>
        <w:t xml:space="preserve">3  </w:t>
      </w:r>
      <w:r>
        <w:rPr>
          <w:rFonts w:hint="eastAsia" w:ascii="宋体" w:hAnsi="宋体" w:cs="宋体"/>
          <w:b/>
          <w:bCs/>
          <w:snapToGrid w:val="0"/>
          <w:color w:val="000000"/>
          <w:kern w:val="0"/>
          <w:sz w:val="21"/>
          <w:szCs w:val="21"/>
        </w:rPr>
        <w:t>器具耦合器产品检验项目及重要程度分类</w:t>
      </w:r>
    </w:p>
    <w:tbl>
      <w:tblPr>
        <w:tblStyle w:val="32"/>
        <w:tblW w:w="97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105"/>
        <w:gridCol w:w="2410"/>
        <w:gridCol w:w="850"/>
        <w:gridCol w:w="2410"/>
        <w:gridCol w:w="691"/>
        <w:gridCol w:w="6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9" w:hRule="atLeast"/>
          <w:tblHeader/>
        </w:trPr>
        <w:tc>
          <w:tcPr>
            <w:tcW w:w="555" w:type="dxa"/>
            <w:vMerge w:val="restart"/>
            <w:tcBorders>
              <w:top w:val="single" w:color="auto" w:sz="4" w:space="0"/>
              <w:right w:val="single" w:color="auto" w:sz="4" w:space="0"/>
            </w:tcBorders>
            <w:vAlign w:val="center"/>
          </w:tcPr>
          <w:p>
            <w:pPr>
              <w:adjustRightInd w:val="0"/>
              <w:snapToGrid w:val="0"/>
              <w:jc w:val="center"/>
              <w:rPr>
                <w:rFonts w:ascii="宋体" w:hAnsi="宋体"/>
                <w:color w:val="000000"/>
                <w:sz w:val="21"/>
                <w:szCs w:val="21"/>
              </w:rPr>
            </w:pPr>
            <w:r>
              <w:rPr>
                <w:rFonts w:hint="eastAsia" w:ascii="宋体" w:hAnsi="宋体" w:cs="宋体"/>
                <w:color w:val="000000"/>
                <w:sz w:val="21"/>
                <w:szCs w:val="21"/>
              </w:rPr>
              <w:t>序号</w:t>
            </w:r>
          </w:p>
        </w:tc>
        <w:tc>
          <w:tcPr>
            <w:tcW w:w="2105"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olor w:val="000000"/>
                <w:sz w:val="21"/>
                <w:szCs w:val="21"/>
              </w:rPr>
            </w:pPr>
            <w:r>
              <w:rPr>
                <w:rFonts w:hint="eastAsia" w:ascii="宋体" w:hAnsi="宋体" w:cs="宋体"/>
                <w:color w:val="000000"/>
                <w:sz w:val="21"/>
                <w:szCs w:val="21"/>
              </w:rPr>
              <w:t>检验项目</w:t>
            </w:r>
          </w:p>
        </w:tc>
        <w:tc>
          <w:tcPr>
            <w:tcW w:w="24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olor w:val="000000"/>
                <w:sz w:val="21"/>
                <w:szCs w:val="21"/>
              </w:rPr>
            </w:pPr>
            <w:r>
              <w:rPr>
                <w:rFonts w:hint="eastAsia" w:ascii="宋体" w:hAnsi="宋体" w:cs="宋体"/>
                <w:color w:val="000000"/>
                <w:sz w:val="21"/>
                <w:szCs w:val="21"/>
              </w:rPr>
              <w:t>依据标准条款</w:t>
            </w:r>
          </w:p>
        </w:tc>
        <w:tc>
          <w:tcPr>
            <w:tcW w:w="85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olor w:val="000000"/>
                <w:sz w:val="21"/>
                <w:szCs w:val="21"/>
              </w:rPr>
            </w:pPr>
            <w:r>
              <w:rPr>
                <w:rFonts w:hint="eastAsia" w:ascii="宋体" w:hAnsi="宋体" w:cs="宋体"/>
                <w:color w:val="000000"/>
                <w:sz w:val="21"/>
                <w:szCs w:val="21"/>
              </w:rPr>
              <w:t>强制性</w:t>
            </w:r>
            <w:r>
              <w:rPr>
                <w:rFonts w:ascii="宋体" w:hAnsi="宋体" w:cs="宋体"/>
                <w:color w:val="000000"/>
                <w:sz w:val="21"/>
                <w:szCs w:val="21"/>
              </w:rPr>
              <w:t>/</w:t>
            </w:r>
            <w:r>
              <w:rPr>
                <w:rFonts w:hint="eastAsia" w:ascii="宋体" w:hAnsi="宋体" w:cs="宋体"/>
                <w:color w:val="000000"/>
                <w:sz w:val="21"/>
                <w:szCs w:val="21"/>
              </w:rPr>
              <w:t>推荐性</w:t>
            </w:r>
          </w:p>
        </w:tc>
        <w:tc>
          <w:tcPr>
            <w:tcW w:w="241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olor w:val="000000"/>
                <w:sz w:val="21"/>
                <w:szCs w:val="21"/>
              </w:rPr>
            </w:pPr>
            <w:r>
              <w:rPr>
                <w:rFonts w:hint="eastAsia" w:ascii="宋体" w:hAnsi="宋体" w:cs="宋体"/>
                <w:color w:val="000000"/>
                <w:sz w:val="21"/>
                <w:szCs w:val="21"/>
              </w:rPr>
              <w:t>检测方法标准</w:t>
            </w:r>
          </w:p>
        </w:tc>
        <w:tc>
          <w:tcPr>
            <w:tcW w:w="1370" w:type="dxa"/>
            <w:gridSpan w:val="2"/>
            <w:tcBorders>
              <w:top w:val="single" w:color="auto" w:sz="4" w:space="0"/>
              <w:left w:val="single" w:color="auto" w:sz="4" w:space="0"/>
              <w:bottom w:val="single" w:color="auto" w:sz="4" w:space="0"/>
            </w:tcBorders>
            <w:vAlign w:val="center"/>
          </w:tcPr>
          <w:p>
            <w:pPr>
              <w:adjustRightInd w:val="0"/>
              <w:snapToGrid w:val="0"/>
              <w:jc w:val="center"/>
              <w:rPr>
                <w:rFonts w:ascii="宋体" w:hAnsi="宋体"/>
                <w:color w:val="000000"/>
                <w:sz w:val="21"/>
                <w:szCs w:val="21"/>
              </w:rPr>
            </w:pPr>
            <w:r>
              <w:rPr>
                <w:rFonts w:hint="eastAsia" w:ascii="宋体" w:hAnsi="宋体" w:cs="宋体"/>
                <w:color w:val="000000"/>
                <w:sz w:val="21"/>
                <w:szCs w:val="21"/>
              </w:rPr>
              <w:t>重要程度分类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tblHeader/>
        </w:trPr>
        <w:tc>
          <w:tcPr>
            <w:tcW w:w="555" w:type="dxa"/>
            <w:vMerge w:val="continue"/>
            <w:tcBorders>
              <w:bottom w:val="single" w:color="auto" w:sz="4" w:space="0"/>
              <w:right w:val="single" w:color="auto" w:sz="4" w:space="0"/>
            </w:tcBorders>
            <w:vAlign w:val="center"/>
          </w:tcPr>
          <w:p>
            <w:pPr>
              <w:adjustRightInd w:val="0"/>
              <w:snapToGrid w:val="0"/>
              <w:jc w:val="center"/>
              <w:rPr>
                <w:rFonts w:ascii="宋体" w:hAnsi="宋体"/>
                <w:color w:val="000000"/>
                <w:sz w:val="21"/>
                <w:szCs w:val="21"/>
              </w:rPr>
            </w:pPr>
          </w:p>
        </w:tc>
        <w:tc>
          <w:tcPr>
            <w:tcW w:w="210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1"/>
                <w:szCs w:val="21"/>
              </w:rPr>
            </w:pPr>
          </w:p>
        </w:tc>
        <w:tc>
          <w:tcPr>
            <w:tcW w:w="24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1"/>
                <w:szCs w:val="21"/>
              </w:rPr>
            </w:pPr>
          </w:p>
        </w:tc>
        <w:tc>
          <w:tcPr>
            <w:tcW w:w="85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1"/>
                <w:szCs w:val="21"/>
              </w:rPr>
            </w:pPr>
          </w:p>
        </w:tc>
        <w:tc>
          <w:tcPr>
            <w:tcW w:w="24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1"/>
                <w:szCs w:val="21"/>
              </w:rPr>
            </w:pPr>
          </w:p>
        </w:tc>
        <w:tc>
          <w:tcPr>
            <w:tcW w:w="6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1"/>
                <w:szCs w:val="21"/>
              </w:rPr>
            </w:pPr>
            <w:r>
              <w:rPr>
                <w:rFonts w:ascii="宋体" w:hAnsi="宋体" w:cs="宋体"/>
                <w:color w:val="000000"/>
                <w:sz w:val="21"/>
                <w:szCs w:val="21"/>
              </w:rPr>
              <w:t>A</w:t>
            </w:r>
            <w:r>
              <w:rPr>
                <w:rFonts w:hint="eastAsia" w:ascii="宋体" w:hAnsi="宋体" w:cs="宋体"/>
                <w:color w:val="000000"/>
                <w:sz w:val="21"/>
                <w:szCs w:val="21"/>
              </w:rPr>
              <w:t>类</w:t>
            </w:r>
          </w:p>
        </w:tc>
        <w:tc>
          <w:tcPr>
            <w:tcW w:w="679" w:type="dxa"/>
            <w:tcBorders>
              <w:top w:val="single" w:color="auto" w:sz="4" w:space="0"/>
              <w:left w:val="single" w:color="auto" w:sz="4" w:space="0"/>
              <w:bottom w:val="single" w:color="auto" w:sz="4" w:space="0"/>
            </w:tcBorders>
            <w:vAlign w:val="center"/>
          </w:tcPr>
          <w:p>
            <w:pPr>
              <w:adjustRightInd w:val="0"/>
              <w:snapToGrid w:val="0"/>
              <w:jc w:val="center"/>
              <w:rPr>
                <w:rFonts w:ascii="宋体" w:hAnsi="宋体"/>
                <w:color w:val="000000"/>
                <w:sz w:val="21"/>
                <w:szCs w:val="21"/>
              </w:rPr>
            </w:pPr>
            <w:r>
              <w:rPr>
                <w:rFonts w:ascii="宋体" w:hAnsi="宋体" w:cs="宋体"/>
                <w:color w:val="000000"/>
                <w:sz w:val="21"/>
                <w:szCs w:val="21"/>
              </w:rPr>
              <w:t>B</w:t>
            </w:r>
            <w:r>
              <w:rPr>
                <w:rFonts w:hint="eastAsia" w:ascii="宋体" w:hAnsi="宋体" w:cs="宋体"/>
                <w:color w:val="000000"/>
                <w:sz w:val="21"/>
                <w:szCs w:val="21"/>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55"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ascii="宋体" w:hAnsi="宋体" w:cs="宋体"/>
                <w:color w:val="000000"/>
                <w:kern w:val="0"/>
                <w:sz w:val="21"/>
                <w:szCs w:val="21"/>
              </w:rPr>
              <w:t>1</w:t>
            </w:r>
          </w:p>
        </w:tc>
        <w:tc>
          <w:tcPr>
            <w:tcW w:w="21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000000"/>
                <w:kern w:val="0"/>
                <w:sz w:val="21"/>
                <w:szCs w:val="21"/>
              </w:rPr>
            </w:pPr>
            <w:r>
              <w:rPr>
                <w:rFonts w:hint="eastAsia" w:ascii="宋体" w:hAnsi="宋体" w:cs="宋体"/>
                <w:color w:val="000000"/>
                <w:kern w:val="0"/>
                <w:sz w:val="21"/>
                <w:szCs w:val="21"/>
              </w:rPr>
              <w:t>标志</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sz w:val="21"/>
                <w:szCs w:val="21"/>
              </w:rPr>
              <w:t>推荐性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8</w:t>
            </w:r>
          </w:p>
        </w:tc>
        <w:tc>
          <w:tcPr>
            <w:tcW w:w="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p>
        </w:tc>
        <w:tc>
          <w:tcPr>
            <w:tcW w:w="679" w:type="dxa"/>
            <w:tcBorders>
              <w:top w:val="single" w:color="auto" w:sz="4" w:space="0"/>
              <w:left w:val="single" w:color="auto" w:sz="4" w:space="0"/>
              <w:bottom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55"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ascii="宋体" w:hAnsi="宋体" w:cs="宋体"/>
                <w:color w:val="000000"/>
                <w:kern w:val="0"/>
                <w:sz w:val="21"/>
                <w:szCs w:val="21"/>
              </w:rPr>
              <w:t>2</w:t>
            </w:r>
          </w:p>
        </w:tc>
        <w:tc>
          <w:tcPr>
            <w:tcW w:w="21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000000"/>
                <w:kern w:val="0"/>
                <w:sz w:val="21"/>
                <w:szCs w:val="21"/>
              </w:rPr>
            </w:pPr>
            <w:bookmarkStart w:id="1" w:name="_Hlk528228233"/>
            <w:r>
              <w:rPr>
                <w:rFonts w:hint="eastAsia" w:ascii="宋体" w:hAnsi="宋体" w:cs="宋体"/>
                <w:color w:val="000000"/>
                <w:kern w:val="0"/>
                <w:sz w:val="21"/>
                <w:szCs w:val="21"/>
              </w:rPr>
              <w:t>尺寸和互换性</w:t>
            </w:r>
            <w:bookmarkEnd w:id="1"/>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sz w:val="21"/>
                <w:szCs w:val="21"/>
              </w:rPr>
              <w:t>推荐性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9</w:t>
            </w:r>
          </w:p>
        </w:tc>
        <w:tc>
          <w:tcPr>
            <w:tcW w:w="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p>
        </w:tc>
        <w:tc>
          <w:tcPr>
            <w:tcW w:w="679" w:type="dxa"/>
            <w:tcBorders>
              <w:top w:val="single" w:color="auto" w:sz="4" w:space="0"/>
              <w:left w:val="single" w:color="auto" w:sz="4" w:space="0"/>
              <w:bottom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55"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ascii="宋体" w:hAnsi="宋体" w:cs="宋体"/>
                <w:color w:val="000000"/>
                <w:kern w:val="0"/>
                <w:sz w:val="21"/>
                <w:szCs w:val="21"/>
              </w:rPr>
              <w:t>3</w:t>
            </w:r>
          </w:p>
        </w:tc>
        <w:tc>
          <w:tcPr>
            <w:tcW w:w="21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000000"/>
                <w:kern w:val="0"/>
                <w:sz w:val="21"/>
                <w:szCs w:val="21"/>
              </w:rPr>
            </w:pPr>
            <w:r>
              <w:rPr>
                <w:rFonts w:hint="eastAsia" w:ascii="宋体" w:hAnsi="宋体" w:cs="宋体"/>
                <w:color w:val="000000"/>
                <w:kern w:val="0"/>
                <w:sz w:val="21"/>
                <w:szCs w:val="21"/>
              </w:rPr>
              <w:t>防触电保护</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10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sz w:val="21"/>
                <w:szCs w:val="21"/>
              </w:rPr>
              <w:t>推荐性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10</w:t>
            </w:r>
          </w:p>
        </w:tc>
        <w:tc>
          <w:tcPr>
            <w:tcW w:w="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kern w:val="0"/>
                <w:sz w:val="21"/>
                <w:szCs w:val="21"/>
              </w:rPr>
              <w:t>●</w:t>
            </w:r>
          </w:p>
        </w:tc>
        <w:tc>
          <w:tcPr>
            <w:tcW w:w="679" w:type="dxa"/>
            <w:tcBorders>
              <w:top w:val="single" w:color="auto" w:sz="4" w:space="0"/>
              <w:left w:val="single" w:color="auto" w:sz="4" w:space="0"/>
              <w:bottom w:val="single" w:color="auto" w:sz="4" w:space="0"/>
            </w:tcBorders>
            <w:vAlign w:val="center"/>
          </w:tcPr>
          <w:p>
            <w:pPr>
              <w:widowControl/>
              <w:jc w:val="center"/>
              <w:rPr>
                <w:rFonts w:ascii="宋体" w:hAnsi="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55"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ascii="宋体" w:hAnsi="宋体" w:cs="宋体"/>
                <w:color w:val="000000"/>
                <w:kern w:val="0"/>
                <w:sz w:val="21"/>
                <w:szCs w:val="21"/>
              </w:rPr>
              <w:t>4</w:t>
            </w:r>
          </w:p>
        </w:tc>
        <w:tc>
          <w:tcPr>
            <w:tcW w:w="21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000000"/>
                <w:kern w:val="0"/>
                <w:sz w:val="21"/>
                <w:szCs w:val="21"/>
              </w:rPr>
            </w:pPr>
            <w:r>
              <w:rPr>
                <w:rFonts w:hint="eastAsia" w:ascii="宋体" w:hAnsi="宋体" w:cs="宋体"/>
                <w:color w:val="000000"/>
                <w:kern w:val="0"/>
                <w:sz w:val="21"/>
                <w:szCs w:val="21"/>
              </w:rPr>
              <w:t>绝缘电阻和电气强度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sz w:val="21"/>
                <w:szCs w:val="21"/>
              </w:rPr>
              <w:t>推荐性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15</w:t>
            </w:r>
          </w:p>
        </w:tc>
        <w:tc>
          <w:tcPr>
            <w:tcW w:w="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kern w:val="0"/>
                <w:sz w:val="21"/>
                <w:szCs w:val="21"/>
              </w:rPr>
              <w:t>●</w:t>
            </w:r>
          </w:p>
        </w:tc>
        <w:tc>
          <w:tcPr>
            <w:tcW w:w="679" w:type="dxa"/>
            <w:tcBorders>
              <w:top w:val="single" w:color="auto" w:sz="4" w:space="0"/>
              <w:left w:val="single" w:color="auto" w:sz="4" w:space="0"/>
              <w:bottom w:val="single" w:color="auto" w:sz="4" w:space="0"/>
            </w:tcBorders>
            <w:vAlign w:val="center"/>
          </w:tcPr>
          <w:p>
            <w:pPr>
              <w:widowControl/>
              <w:jc w:val="center"/>
              <w:rPr>
                <w:rFonts w:ascii="宋体" w:hAnsi="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55"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ascii="宋体" w:hAnsi="宋体" w:cs="宋体"/>
                <w:color w:val="000000"/>
                <w:kern w:val="0"/>
                <w:sz w:val="21"/>
                <w:szCs w:val="21"/>
              </w:rPr>
              <w:t>5</w:t>
            </w:r>
          </w:p>
        </w:tc>
        <w:tc>
          <w:tcPr>
            <w:tcW w:w="21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000000"/>
                <w:kern w:val="0"/>
                <w:sz w:val="21"/>
                <w:szCs w:val="21"/>
              </w:rPr>
            </w:pPr>
            <w:r>
              <w:rPr>
                <w:rFonts w:hint="eastAsia" w:ascii="宋体" w:hAnsi="宋体" w:cs="宋体"/>
                <w:color w:val="000000"/>
                <w:kern w:val="0"/>
                <w:sz w:val="21"/>
                <w:szCs w:val="21"/>
              </w:rPr>
              <w:t>插入和拔出连接器所需的力</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16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sz w:val="21"/>
                <w:szCs w:val="21"/>
              </w:rPr>
              <w:t>推荐性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16</w:t>
            </w:r>
          </w:p>
        </w:tc>
        <w:tc>
          <w:tcPr>
            <w:tcW w:w="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p>
        </w:tc>
        <w:tc>
          <w:tcPr>
            <w:tcW w:w="679" w:type="dxa"/>
            <w:tcBorders>
              <w:top w:val="single" w:color="auto" w:sz="4" w:space="0"/>
              <w:left w:val="single" w:color="auto" w:sz="4" w:space="0"/>
              <w:bottom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55"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ascii="宋体" w:hAnsi="宋体" w:cs="宋体"/>
                <w:color w:val="000000"/>
                <w:kern w:val="0"/>
                <w:sz w:val="21"/>
                <w:szCs w:val="21"/>
              </w:rPr>
              <w:t>6</w:t>
            </w:r>
          </w:p>
        </w:tc>
        <w:tc>
          <w:tcPr>
            <w:tcW w:w="21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000000"/>
                <w:kern w:val="0"/>
                <w:sz w:val="21"/>
                <w:szCs w:val="21"/>
              </w:rPr>
            </w:pPr>
            <w:bookmarkStart w:id="2" w:name="_Hlk528228251"/>
            <w:r>
              <w:rPr>
                <w:rFonts w:hint="eastAsia" w:ascii="宋体" w:hAnsi="宋体" w:cs="宋体"/>
                <w:color w:val="000000"/>
                <w:kern w:val="0"/>
                <w:sz w:val="21"/>
                <w:szCs w:val="21"/>
              </w:rPr>
              <w:t>温升</w:t>
            </w:r>
            <w:bookmarkEnd w:id="2"/>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21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sz w:val="21"/>
                <w:szCs w:val="21"/>
              </w:rPr>
              <w:t>推荐性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21</w:t>
            </w:r>
          </w:p>
        </w:tc>
        <w:tc>
          <w:tcPr>
            <w:tcW w:w="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kern w:val="0"/>
                <w:sz w:val="21"/>
                <w:szCs w:val="21"/>
              </w:rPr>
              <w:t>●</w:t>
            </w:r>
          </w:p>
        </w:tc>
        <w:tc>
          <w:tcPr>
            <w:tcW w:w="679" w:type="dxa"/>
            <w:tcBorders>
              <w:top w:val="single" w:color="auto" w:sz="4" w:space="0"/>
              <w:left w:val="single" w:color="auto" w:sz="4" w:space="0"/>
              <w:bottom w:val="single" w:color="auto" w:sz="4" w:space="0"/>
            </w:tcBorders>
            <w:vAlign w:val="center"/>
          </w:tcPr>
          <w:p>
            <w:pPr>
              <w:widowControl/>
              <w:jc w:val="center"/>
              <w:rPr>
                <w:rFonts w:ascii="宋体" w:hAnsi="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55"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ascii="宋体" w:hAnsi="宋体" w:cs="宋体"/>
                <w:color w:val="000000"/>
                <w:kern w:val="0"/>
                <w:sz w:val="21"/>
                <w:szCs w:val="21"/>
              </w:rPr>
              <w:t>7</w:t>
            </w:r>
          </w:p>
        </w:tc>
        <w:tc>
          <w:tcPr>
            <w:tcW w:w="21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000000"/>
                <w:kern w:val="0"/>
                <w:sz w:val="21"/>
                <w:szCs w:val="21"/>
              </w:rPr>
            </w:pPr>
            <w:r>
              <w:rPr>
                <w:rFonts w:hint="eastAsia" w:ascii="宋体" w:hAnsi="宋体" w:cs="宋体"/>
                <w:color w:val="000000"/>
                <w:kern w:val="0"/>
                <w:sz w:val="21"/>
                <w:szCs w:val="21"/>
              </w:rPr>
              <w:t>软线及其连接（弯曲试验）</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22.4</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000000"/>
                <w:sz w:val="21"/>
                <w:szCs w:val="21"/>
              </w:rPr>
            </w:pPr>
            <w:r>
              <w:rPr>
                <w:rFonts w:hint="eastAsia" w:ascii="宋体" w:hAnsi="宋体" w:cs="宋体"/>
                <w:color w:val="000000"/>
                <w:sz w:val="21"/>
                <w:szCs w:val="21"/>
              </w:rPr>
              <w:t>推荐性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22.4</w:t>
            </w:r>
          </w:p>
        </w:tc>
        <w:tc>
          <w:tcPr>
            <w:tcW w:w="6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color w:val="000000"/>
                <w:sz w:val="21"/>
                <w:szCs w:val="21"/>
              </w:rPr>
            </w:pPr>
          </w:p>
        </w:tc>
        <w:tc>
          <w:tcPr>
            <w:tcW w:w="679" w:type="dxa"/>
            <w:tcBorders>
              <w:top w:val="single" w:color="auto" w:sz="4" w:space="0"/>
              <w:left w:val="single" w:color="auto" w:sz="4" w:space="0"/>
              <w:bottom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55"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ascii="宋体" w:hAnsi="宋体" w:cs="宋体"/>
                <w:color w:val="000000"/>
                <w:kern w:val="0"/>
                <w:sz w:val="21"/>
                <w:szCs w:val="21"/>
              </w:rPr>
              <w:t>8</w:t>
            </w:r>
          </w:p>
        </w:tc>
        <w:tc>
          <w:tcPr>
            <w:tcW w:w="21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000000"/>
                <w:kern w:val="0"/>
                <w:sz w:val="21"/>
                <w:szCs w:val="21"/>
              </w:rPr>
            </w:pPr>
            <w:bookmarkStart w:id="3" w:name="_Hlk528228295"/>
            <w:r>
              <w:rPr>
                <w:rFonts w:hint="eastAsia" w:ascii="宋体" w:hAnsi="宋体" w:cs="宋体"/>
                <w:color w:val="000000"/>
                <w:kern w:val="0"/>
                <w:sz w:val="21"/>
                <w:szCs w:val="21"/>
              </w:rPr>
              <w:t>耐热性能</w:t>
            </w:r>
            <w:bookmarkEnd w:id="3"/>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24.1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1"/>
                <w:szCs w:val="21"/>
              </w:rPr>
            </w:pPr>
            <w:r>
              <w:rPr>
                <w:rFonts w:hint="eastAsia" w:ascii="宋体" w:hAnsi="宋体" w:cs="宋体"/>
                <w:color w:val="000000"/>
                <w:sz w:val="21"/>
                <w:szCs w:val="21"/>
              </w:rPr>
              <w:t>推荐性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24.1</w:t>
            </w:r>
          </w:p>
        </w:tc>
        <w:tc>
          <w:tcPr>
            <w:tcW w:w="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21"/>
                <w:szCs w:val="21"/>
              </w:rPr>
            </w:pPr>
            <w:r>
              <w:rPr>
                <w:rFonts w:hint="eastAsia" w:ascii="宋体" w:hAnsi="宋体" w:cs="宋体"/>
                <w:color w:val="000000"/>
                <w:kern w:val="0"/>
                <w:sz w:val="21"/>
                <w:szCs w:val="21"/>
              </w:rPr>
              <w:t>●</w:t>
            </w:r>
          </w:p>
        </w:tc>
        <w:tc>
          <w:tcPr>
            <w:tcW w:w="679" w:type="dxa"/>
            <w:tcBorders>
              <w:top w:val="single" w:color="auto" w:sz="4" w:space="0"/>
              <w:left w:val="single" w:color="auto" w:sz="4" w:space="0"/>
              <w:bottom w:val="single" w:color="auto" w:sz="4" w:space="0"/>
            </w:tcBorders>
            <w:vAlign w:val="center"/>
          </w:tcPr>
          <w:p>
            <w:pPr>
              <w:widowControl/>
              <w:jc w:val="center"/>
              <w:rPr>
                <w:rFonts w:ascii="宋体" w:hAnsi="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55"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ascii="宋体" w:hAnsi="宋体" w:cs="宋体"/>
                <w:color w:val="000000"/>
                <w:kern w:val="0"/>
                <w:sz w:val="21"/>
                <w:szCs w:val="21"/>
              </w:rPr>
              <w:t>9</w:t>
            </w:r>
          </w:p>
        </w:tc>
        <w:tc>
          <w:tcPr>
            <w:tcW w:w="21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color w:val="000000"/>
                <w:kern w:val="0"/>
                <w:sz w:val="21"/>
                <w:szCs w:val="21"/>
              </w:rPr>
            </w:pPr>
            <w:r>
              <w:rPr>
                <w:rFonts w:hint="eastAsia" w:ascii="宋体" w:hAnsi="宋体" w:cs="宋体"/>
                <w:color w:val="000000"/>
                <w:kern w:val="0"/>
                <w:sz w:val="21"/>
                <w:szCs w:val="21"/>
              </w:rPr>
              <w:t>爬电距离、电气间隙和穿通绝缘距离</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26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sz w:val="21"/>
                <w:szCs w:val="21"/>
              </w:rPr>
              <w:t>推荐性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26</w:t>
            </w:r>
          </w:p>
        </w:tc>
        <w:tc>
          <w:tcPr>
            <w:tcW w:w="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p>
        </w:tc>
        <w:tc>
          <w:tcPr>
            <w:tcW w:w="679" w:type="dxa"/>
            <w:tcBorders>
              <w:top w:val="single" w:color="auto" w:sz="4" w:space="0"/>
              <w:left w:val="single" w:color="auto" w:sz="4" w:space="0"/>
              <w:bottom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555" w:type="dxa"/>
            <w:tcBorders>
              <w:top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c>
          <w:tcPr>
            <w:tcW w:w="2105" w:type="dxa"/>
            <w:tcBorders>
              <w:top w:val="single" w:color="auto" w:sz="4" w:space="0"/>
              <w:left w:val="single" w:color="auto" w:sz="4" w:space="0"/>
              <w:bottom w:val="single" w:color="auto" w:sz="4" w:space="0"/>
              <w:right w:val="single" w:color="auto" w:sz="4" w:space="0"/>
            </w:tcBorders>
            <w:vAlign w:val="center"/>
          </w:tcPr>
          <w:p>
            <w:pPr>
              <w:widowControl/>
              <w:spacing w:before="60" w:after="60"/>
              <w:jc w:val="center"/>
              <w:rPr>
                <w:rFonts w:ascii="宋体" w:hAnsi="宋体" w:cs="宋体"/>
                <w:color w:val="000000"/>
                <w:kern w:val="0"/>
                <w:sz w:val="21"/>
                <w:szCs w:val="21"/>
              </w:rPr>
            </w:pPr>
            <w:r>
              <w:rPr>
                <w:rFonts w:hint="eastAsia" w:ascii="宋体" w:hAnsi="宋体" w:cs="宋体"/>
                <w:color w:val="000000"/>
                <w:kern w:val="0"/>
                <w:sz w:val="21"/>
                <w:szCs w:val="21"/>
              </w:rPr>
              <w:t>绝缘材料的耐非正常热、耐燃和耐电痕化</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27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1"/>
                <w:szCs w:val="21"/>
              </w:rPr>
            </w:pPr>
            <w:r>
              <w:rPr>
                <w:rFonts w:hint="eastAsia" w:ascii="宋体" w:hAnsi="宋体" w:cs="宋体"/>
                <w:color w:val="000000"/>
                <w:sz w:val="21"/>
                <w:szCs w:val="21"/>
              </w:rPr>
              <w:t>推荐性</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17465.1-2009</w:t>
            </w:r>
          </w:p>
          <w:p>
            <w:pPr>
              <w:widowControl/>
              <w:jc w:val="center"/>
              <w:rPr>
                <w:rFonts w:ascii="宋体" w:hAnsi="宋体" w:cs="宋体"/>
                <w:color w:val="000000"/>
                <w:kern w:val="0"/>
                <w:sz w:val="21"/>
                <w:szCs w:val="21"/>
              </w:rPr>
            </w:pPr>
            <w:r>
              <w:rPr>
                <w:rFonts w:ascii="宋体" w:hAnsi="宋体" w:cs="宋体"/>
                <w:color w:val="000000"/>
                <w:kern w:val="0"/>
                <w:sz w:val="21"/>
                <w:szCs w:val="21"/>
              </w:rPr>
              <w:t>GB</w:t>
            </w:r>
            <w:r>
              <w:rPr>
                <w:rFonts w:hint="eastAsia" w:ascii="宋体" w:hAnsi="宋体" w:cs="宋体"/>
                <w:color w:val="000000"/>
                <w:kern w:val="0"/>
                <w:sz w:val="21"/>
                <w:szCs w:val="21"/>
              </w:rPr>
              <w:t xml:space="preserve">/T </w:t>
            </w:r>
            <w:r>
              <w:rPr>
                <w:rFonts w:ascii="宋体" w:hAnsi="宋体" w:cs="宋体"/>
                <w:color w:val="000000"/>
                <w:kern w:val="0"/>
                <w:sz w:val="21"/>
                <w:szCs w:val="21"/>
              </w:rPr>
              <w:t>17465.2-2009</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条款</w:t>
            </w:r>
            <w:r>
              <w:rPr>
                <w:rFonts w:ascii="宋体" w:hAnsi="宋体" w:cs="宋体"/>
                <w:color w:val="000000"/>
                <w:kern w:val="0"/>
                <w:sz w:val="21"/>
                <w:szCs w:val="21"/>
              </w:rPr>
              <w:t>27</w:t>
            </w:r>
          </w:p>
        </w:tc>
        <w:tc>
          <w:tcPr>
            <w:tcW w:w="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w:t>
            </w:r>
          </w:p>
        </w:tc>
        <w:tc>
          <w:tcPr>
            <w:tcW w:w="679" w:type="dxa"/>
            <w:tcBorders>
              <w:top w:val="single" w:color="auto" w:sz="4" w:space="0"/>
              <w:left w:val="single" w:color="auto" w:sz="4" w:space="0"/>
              <w:bottom w:val="single" w:color="auto" w:sz="4" w:space="0"/>
            </w:tcBorders>
            <w:vAlign w:val="center"/>
          </w:tcPr>
          <w:p>
            <w:pPr>
              <w:widowControl/>
              <w:jc w:val="center"/>
              <w:rPr>
                <w:rFonts w:ascii="宋体" w:hAnsi="宋体"/>
                <w:color w:val="000000"/>
                <w:kern w:val="0"/>
                <w:sz w:val="21"/>
                <w:szCs w:val="21"/>
              </w:rPr>
            </w:pPr>
          </w:p>
        </w:tc>
      </w:tr>
    </w:tbl>
    <w:p>
      <w:pPr>
        <w:spacing w:line="360" w:lineRule="auto"/>
        <w:rPr>
          <w:rFonts w:cs="宋体"/>
          <w:color w:val="000000"/>
          <w:sz w:val="18"/>
          <w:szCs w:val="18"/>
        </w:rPr>
      </w:pPr>
      <w:r>
        <w:rPr>
          <w:rFonts w:hint="eastAsia" w:ascii="宋体" w:hAnsi="宋体" w:cs="宋体"/>
          <w:snapToGrid w:val="0"/>
          <w:color w:val="000000"/>
          <w:kern w:val="0"/>
          <w:sz w:val="18"/>
          <w:szCs w:val="18"/>
        </w:rPr>
        <w:t>注：</w:t>
      </w:r>
      <w:r>
        <w:rPr>
          <w:color w:val="000000"/>
          <w:sz w:val="18"/>
          <w:szCs w:val="18"/>
        </w:rPr>
        <w:t>A</w:t>
      </w:r>
      <w:r>
        <w:rPr>
          <w:rFonts w:hint="eastAsia" w:cs="宋体"/>
          <w:color w:val="000000"/>
          <w:sz w:val="18"/>
          <w:szCs w:val="18"/>
        </w:rPr>
        <w:t>类</w:t>
      </w:r>
      <w:r>
        <w:rPr>
          <w:color w:val="000000"/>
          <w:sz w:val="18"/>
          <w:szCs w:val="18"/>
        </w:rPr>
        <w:t>——</w:t>
      </w:r>
      <w:r>
        <w:rPr>
          <w:rFonts w:hint="eastAsia" w:cs="宋体"/>
          <w:color w:val="000000"/>
          <w:sz w:val="18"/>
          <w:szCs w:val="18"/>
        </w:rPr>
        <w:t>极重要质量项目，</w:t>
      </w:r>
      <w:r>
        <w:rPr>
          <w:color w:val="000000"/>
          <w:sz w:val="18"/>
          <w:szCs w:val="18"/>
        </w:rPr>
        <w:t>B</w:t>
      </w:r>
      <w:r>
        <w:rPr>
          <w:rFonts w:hint="eastAsia" w:cs="宋体"/>
          <w:color w:val="000000"/>
          <w:sz w:val="18"/>
          <w:szCs w:val="18"/>
        </w:rPr>
        <w:t>类</w:t>
      </w:r>
      <w:r>
        <w:rPr>
          <w:color w:val="000000"/>
          <w:sz w:val="18"/>
          <w:szCs w:val="18"/>
        </w:rPr>
        <w:t>——</w:t>
      </w:r>
      <w:r>
        <w:rPr>
          <w:rFonts w:hint="eastAsia" w:cs="宋体"/>
          <w:color w:val="000000"/>
          <w:sz w:val="18"/>
          <w:szCs w:val="18"/>
        </w:rPr>
        <w:t>重要质量项目。</w:t>
      </w:r>
    </w:p>
    <w:p>
      <w:pPr>
        <w:spacing w:line="360" w:lineRule="auto"/>
        <w:rPr>
          <w:rFonts w:ascii="宋体"/>
          <w:color w:val="000000"/>
          <w:sz w:val="18"/>
          <w:szCs w:val="18"/>
        </w:rPr>
      </w:pPr>
      <w:r>
        <w:rPr>
          <w:rFonts w:hint="eastAsia" w:ascii="宋体" w:hAnsi="宋体" w:cs="宋体"/>
          <w:color w:val="000000"/>
          <w:sz w:val="18"/>
          <w:szCs w:val="18"/>
        </w:rPr>
        <w:t>注</w:t>
      </w:r>
      <w:r>
        <w:rPr>
          <w:rFonts w:ascii="宋体" w:hAnsi="宋体" w:cs="宋体"/>
          <w:color w:val="000000"/>
          <w:sz w:val="18"/>
          <w:szCs w:val="18"/>
        </w:rPr>
        <w:t>1</w:t>
      </w:r>
      <w:r>
        <w:rPr>
          <w:rFonts w:hint="eastAsia" w:ascii="宋体" w:hAnsi="宋体" w:cs="宋体"/>
          <w:color w:val="000000"/>
          <w:sz w:val="18"/>
          <w:szCs w:val="18"/>
        </w:rPr>
        <w:t>：极重要质量项目是指直接涉及人体健康、使用安全的指标；重要质量项目是指产品涉及环保、能效、关键性能或特征值的指标。</w:t>
      </w:r>
    </w:p>
    <w:p>
      <w:pPr>
        <w:spacing w:line="360" w:lineRule="auto"/>
        <w:rPr>
          <w:rFonts w:ascii="宋体"/>
          <w:color w:val="000000"/>
          <w:sz w:val="18"/>
          <w:szCs w:val="18"/>
        </w:rPr>
      </w:pPr>
      <w:r>
        <w:rPr>
          <w:rFonts w:hint="eastAsia" w:ascii="宋体" w:hAnsi="宋体" w:cs="宋体"/>
          <w:color w:val="000000"/>
          <w:sz w:val="18"/>
          <w:szCs w:val="18"/>
        </w:rPr>
        <w:t>注</w:t>
      </w:r>
      <w:r>
        <w:rPr>
          <w:rFonts w:ascii="宋体" w:hAnsi="宋体" w:cs="宋体"/>
          <w:color w:val="000000"/>
          <w:sz w:val="18"/>
          <w:szCs w:val="18"/>
        </w:rPr>
        <w:t>2</w:t>
      </w:r>
      <w:r>
        <w:rPr>
          <w:rFonts w:hint="eastAsia" w:ascii="宋体" w:hAnsi="宋体" w:cs="宋体"/>
          <w:color w:val="000000"/>
          <w:sz w:val="18"/>
          <w:szCs w:val="18"/>
        </w:rPr>
        <w:t>：上表所列检验项目是有关法律法规、标准等规定的，重点涉及健康、安全以及消费者、有关组织反映有质量问题的重要项目。</w:t>
      </w:r>
    </w:p>
    <w:p>
      <w:pPr>
        <w:spacing w:beforeLines="50" w:line="360" w:lineRule="auto"/>
        <w:rPr>
          <w:rFonts w:ascii="宋体"/>
          <w:color w:val="000000"/>
          <w:sz w:val="18"/>
          <w:szCs w:val="18"/>
        </w:rPr>
      </w:pPr>
      <w:r>
        <w:rPr>
          <w:rFonts w:ascii="宋体" w:hAnsi="宋体" w:cs="宋体"/>
          <w:b/>
          <w:bCs/>
          <w:color w:val="000000"/>
        </w:rPr>
        <w:t xml:space="preserve">7.2 </w:t>
      </w:r>
      <w:r>
        <w:rPr>
          <w:rFonts w:hint="eastAsia" w:ascii="宋体" w:hAnsi="宋体" w:cs="宋体"/>
          <w:b/>
          <w:bCs/>
          <w:color w:val="000000"/>
        </w:rPr>
        <w:t>检验应注意的问题</w:t>
      </w:r>
    </w:p>
    <w:p>
      <w:pPr>
        <w:spacing w:line="360" w:lineRule="auto"/>
        <w:ind w:firstLine="415" w:firstLineChars="198"/>
        <w:rPr>
          <w:rFonts w:ascii="宋体" w:hAnsi="宋体"/>
          <w:snapToGrid w:val="0"/>
        </w:rPr>
      </w:pPr>
      <w:r>
        <w:rPr>
          <w:rFonts w:hint="eastAsia" w:ascii="宋体" w:hAnsi="宋体"/>
          <w:snapToGrid w:val="0"/>
        </w:rPr>
        <w:t>若被检产品明示的质量要求高于本细则中检验项目依据的标准要求时，应按被检产品明示的质量要求判定。</w:t>
      </w:r>
    </w:p>
    <w:p>
      <w:pPr>
        <w:spacing w:line="360" w:lineRule="auto"/>
        <w:ind w:firstLine="415" w:firstLineChars="198"/>
        <w:rPr>
          <w:rFonts w:ascii="宋体" w:hAnsi="宋体"/>
          <w:snapToGrid w:val="0"/>
        </w:rPr>
      </w:pPr>
      <w:r>
        <w:rPr>
          <w:rFonts w:hint="eastAsia" w:ascii="宋体" w:hAnsi="宋体"/>
          <w:snapToGrid w:val="0"/>
        </w:rPr>
        <w:t>若被检产品明示的质量要求低于或包含本细则中检验项目依据的推荐性标准要求时，应以被检产品明示的质量要求判定。</w:t>
      </w:r>
    </w:p>
    <w:p>
      <w:pPr>
        <w:spacing w:line="360" w:lineRule="auto"/>
        <w:ind w:firstLine="415" w:firstLineChars="198"/>
        <w:rPr>
          <w:rFonts w:ascii="宋体" w:hAnsi="宋体"/>
          <w:snapToGrid w:val="0"/>
        </w:rPr>
      </w:pPr>
      <w:r>
        <w:rPr>
          <w:rFonts w:hint="eastAsia" w:ascii="宋体" w:hAnsi="宋体"/>
          <w:snapToGrid w:val="0"/>
        </w:rPr>
        <w:t>若被检产品明示的质量要求缺少本细则中检验项目依据的推荐性标准要求时，该项目不参与判定，但应在检验报告备注中进行说明。</w:t>
      </w:r>
    </w:p>
    <w:p>
      <w:pPr>
        <w:spacing w:line="360" w:lineRule="auto"/>
        <w:rPr>
          <w:rFonts w:ascii="宋体"/>
          <w:b/>
          <w:snapToGrid w:val="0"/>
        </w:rPr>
      </w:pPr>
      <w:r>
        <w:rPr>
          <w:rFonts w:ascii="宋体" w:hAnsi="宋体"/>
          <w:b/>
          <w:snapToGrid w:val="0"/>
        </w:rPr>
        <w:t>8</w:t>
      </w:r>
      <w:r>
        <w:rPr>
          <w:rFonts w:hint="eastAsia" w:ascii="宋体" w:hAnsi="宋体"/>
          <w:b/>
          <w:bCs/>
          <w:snapToGrid w:val="0"/>
        </w:rPr>
        <w:t>判定原则</w:t>
      </w:r>
    </w:p>
    <w:p>
      <w:pPr>
        <w:spacing w:line="360" w:lineRule="auto"/>
        <w:ind w:firstLine="415" w:firstLineChars="198"/>
        <w:rPr>
          <w:rFonts w:ascii="宋体" w:hAnsi="宋体"/>
          <w:snapToGrid w:val="0"/>
        </w:rPr>
      </w:pPr>
      <w:r>
        <w:rPr>
          <w:rFonts w:hint="eastAsia" w:ascii="宋体" w:hAnsi="宋体"/>
          <w:snapToGrid w:val="0"/>
        </w:rPr>
        <w:t>经检验，检验项目全部合格，判定为被抽查产品合格；检验项目中任一项或一项以上不合格，判定为被抽查产品不合格。当产品存在A类项目不合格时，属于严重不合格。</w:t>
      </w:r>
    </w:p>
    <w:p>
      <w:pPr>
        <w:spacing w:beforeLines="50" w:line="360" w:lineRule="auto"/>
        <w:rPr>
          <w:rFonts w:ascii="宋体"/>
          <w:b/>
          <w:bCs/>
          <w:snapToGrid w:val="0"/>
          <w:color w:val="000000"/>
          <w:kern w:val="0"/>
        </w:rPr>
      </w:pPr>
      <w:r>
        <w:rPr>
          <w:rFonts w:ascii="宋体" w:hAnsi="宋体" w:cs="宋体"/>
          <w:b/>
          <w:bCs/>
          <w:snapToGrid w:val="0"/>
          <w:color w:val="000000"/>
          <w:kern w:val="0"/>
        </w:rPr>
        <w:t xml:space="preserve">9 </w:t>
      </w:r>
      <w:r>
        <w:rPr>
          <w:rFonts w:hint="eastAsia" w:ascii="宋体" w:hAnsi="宋体" w:cs="宋体"/>
          <w:b/>
          <w:bCs/>
          <w:snapToGrid w:val="0"/>
          <w:color w:val="000000"/>
          <w:kern w:val="0"/>
        </w:rPr>
        <w:t>异议处理</w:t>
      </w:r>
      <w:bookmarkStart w:id="4" w:name="OLE_LINK4"/>
      <w:bookmarkStart w:id="5" w:name="OLE_LINK5"/>
    </w:p>
    <w:bookmarkEnd w:id="4"/>
    <w:bookmarkEnd w:id="5"/>
    <w:p>
      <w:pPr>
        <w:spacing w:line="360" w:lineRule="auto"/>
        <w:ind w:firstLine="420" w:firstLineChars="200"/>
        <w:rPr>
          <w:rFonts w:ascii="宋体"/>
          <w:b/>
          <w:snapToGrid w:val="0"/>
        </w:rPr>
      </w:pPr>
      <w:r>
        <w:rPr>
          <w:rFonts w:hint="eastAsia" w:ascii="宋体" w:hAnsi="宋体"/>
          <w:snapToGrid w:val="0"/>
        </w:rPr>
        <w:t>对判定不合格产品进行异议处理时，按以下方式进行：</w:t>
      </w:r>
    </w:p>
    <w:p>
      <w:pPr>
        <w:spacing w:line="360" w:lineRule="auto"/>
        <w:rPr>
          <w:rFonts w:ascii="宋体" w:hAnsi="宋体"/>
          <w:snapToGrid w:val="0"/>
        </w:rPr>
      </w:pPr>
      <w:r>
        <w:rPr>
          <w:rFonts w:ascii="??" w:hAnsi="??" w:cs="宋体"/>
          <w:b/>
          <w:snapToGrid w:val="0"/>
        </w:rPr>
        <w:t xml:space="preserve">9.1 </w:t>
      </w:r>
      <w:r>
        <w:rPr>
          <w:rFonts w:hint="eastAsia" w:ascii="宋体" w:hAnsi="宋体"/>
          <w:snapToGrid w:val="0"/>
        </w:rPr>
        <w:t>核查不合格项目相关证据，能够以记录（纸质记录或电子记录或影像记录）或与不合格项目相关联的其它质量数据等检验证据证明。</w:t>
      </w:r>
    </w:p>
    <w:p>
      <w:pPr>
        <w:spacing w:line="360" w:lineRule="auto"/>
        <w:rPr>
          <w:rFonts w:ascii="宋体" w:hAnsi="宋体"/>
          <w:color w:val="000000"/>
          <w:szCs w:val="21"/>
        </w:rPr>
      </w:pPr>
      <w:r>
        <w:rPr>
          <w:rFonts w:ascii="??" w:hAnsi="??" w:cs="宋体"/>
          <w:b/>
          <w:snapToGrid w:val="0"/>
        </w:rPr>
        <w:t>9.2</w:t>
      </w:r>
      <w:r>
        <w:rPr>
          <w:rFonts w:hint="eastAsia" w:ascii="宋体" w:hAnsi="宋体"/>
          <w:snapToGrid w:val="0"/>
        </w:rPr>
        <w:t>对需要复检并具备检验条件的，处理企业异议的</w:t>
      </w:r>
      <w:r>
        <w:rPr>
          <w:rFonts w:hint="eastAsia" w:ascii="宋体" w:hAnsi="宋体"/>
          <w:kern w:val="0"/>
          <w:szCs w:val="21"/>
        </w:rPr>
        <w:t>市场监督管理</w:t>
      </w:r>
      <w:r>
        <w:rPr>
          <w:rFonts w:ascii="宋体" w:hAnsi="宋体"/>
          <w:kern w:val="0"/>
          <w:szCs w:val="21"/>
        </w:rPr>
        <w:t>部门</w:t>
      </w:r>
      <w:r>
        <w:rPr>
          <w:rFonts w:hint="eastAsia" w:ascii="宋体" w:hAnsi="宋体"/>
          <w:snapToGrid w:val="0"/>
        </w:rPr>
        <w:t>应当按原监督抽查方案对留存的样品或抽取的备用样品组织复检，并出具检验报告。复检结论为最终结论。</w:t>
      </w:r>
    </w:p>
    <w:p>
      <w:pPr>
        <w:ind w:firstLine="420" w:firstLineChars="200"/>
        <w:rPr>
          <w:rFonts w:ascii="宋体" w:hAnsi="宋体"/>
          <w:color w:val="000000"/>
          <w:szCs w:val="21"/>
        </w:rPr>
      </w:pPr>
    </w:p>
    <w:sectPr>
      <w:footerReference r:id="rId3" w:type="default"/>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LEMBMG+TimesNewRomanPS">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im Sun">
    <w:altName w:val="方正舒体"/>
    <w:panose1 w:val="00000000000000000000"/>
    <w:charset w:val="86"/>
    <w:family w:val="swiss"/>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4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oNotHyphenateCaps/>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A45C14"/>
    <w:rsid w:val="00000B31"/>
    <w:rsid w:val="00001906"/>
    <w:rsid w:val="00002FC6"/>
    <w:rsid w:val="000033BD"/>
    <w:rsid w:val="000055B6"/>
    <w:rsid w:val="00011D8F"/>
    <w:rsid w:val="00021A4C"/>
    <w:rsid w:val="000233F6"/>
    <w:rsid w:val="00030B31"/>
    <w:rsid w:val="00032E3B"/>
    <w:rsid w:val="000332FE"/>
    <w:rsid w:val="0003413F"/>
    <w:rsid w:val="000358AE"/>
    <w:rsid w:val="00041FF5"/>
    <w:rsid w:val="00043354"/>
    <w:rsid w:val="00043A3A"/>
    <w:rsid w:val="00046A99"/>
    <w:rsid w:val="00046E06"/>
    <w:rsid w:val="00051C8F"/>
    <w:rsid w:val="00052B06"/>
    <w:rsid w:val="0005351B"/>
    <w:rsid w:val="00056740"/>
    <w:rsid w:val="00056DB4"/>
    <w:rsid w:val="00057E21"/>
    <w:rsid w:val="0006083B"/>
    <w:rsid w:val="00060EF8"/>
    <w:rsid w:val="000650BA"/>
    <w:rsid w:val="0006528D"/>
    <w:rsid w:val="0006772F"/>
    <w:rsid w:val="000724ED"/>
    <w:rsid w:val="000725DC"/>
    <w:rsid w:val="00072D1C"/>
    <w:rsid w:val="00076955"/>
    <w:rsid w:val="0008279E"/>
    <w:rsid w:val="00083547"/>
    <w:rsid w:val="00085103"/>
    <w:rsid w:val="0008622C"/>
    <w:rsid w:val="000873A4"/>
    <w:rsid w:val="000905C4"/>
    <w:rsid w:val="000919D5"/>
    <w:rsid w:val="000919FE"/>
    <w:rsid w:val="00092AC1"/>
    <w:rsid w:val="00096A6D"/>
    <w:rsid w:val="000A1C00"/>
    <w:rsid w:val="000A23E9"/>
    <w:rsid w:val="000A47C0"/>
    <w:rsid w:val="000A66D5"/>
    <w:rsid w:val="000A705A"/>
    <w:rsid w:val="000A74B7"/>
    <w:rsid w:val="000B08A6"/>
    <w:rsid w:val="000B193B"/>
    <w:rsid w:val="000B26C8"/>
    <w:rsid w:val="000B3C04"/>
    <w:rsid w:val="000B4A01"/>
    <w:rsid w:val="000B5B30"/>
    <w:rsid w:val="000B75C2"/>
    <w:rsid w:val="000B7A5E"/>
    <w:rsid w:val="000C0C62"/>
    <w:rsid w:val="000C3EE6"/>
    <w:rsid w:val="000C436C"/>
    <w:rsid w:val="000C4CEF"/>
    <w:rsid w:val="000C4F07"/>
    <w:rsid w:val="000C699F"/>
    <w:rsid w:val="000C7D7B"/>
    <w:rsid w:val="000D0D37"/>
    <w:rsid w:val="000D14AB"/>
    <w:rsid w:val="000D5088"/>
    <w:rsid w:val="000D53CC"/>
    <w:rsid w:val="000D7540"/>
    <w:rsid w:val="000E1632"/>
    <w:rsid w:val="000E1E3D"/>
    <w:rsid w:val="000E2E8C"/>
    <w:rsid w:val="000E4013"/>
    <w:rsid w:val="000F7348"/>
    <w:rsid w:val="000F7AEA"/>
    <w:rsid w:val="00101699"/>
    <w:rsid w:val="00101E92"/>
    <w:rsid w:val="0010242E"/>
    <w:rsid w:val="0010401E"/>
    <w:rsid w:val="001053CA"/>
    <w:rsid w:val="001060BB"/>
    <w:rsid w:val="0010680A"/>
    <w:rsid w:val="001068F7"/>
    <w:rsid w:val="00107236"/>
    <w:rsid w:val="00112CA8"/>
    <w:rsid w:val="00112D03"/>
    <w:rsid w:val="00113828"/>
    <w:rsid w:val="00113CC7"/>
    <w:rsid w:val="00115591"/>
    <w:rsid w:val="00115D1C"/>
    <w:rsid w:val="00116A31"/>
    <w:rsid w:val="00122468"/>
    <w:rsid w:val="00125360"/>
    <w:rsid w:val="00132429"/>
    <w:rsid w:val="00133EEC"/>
    <w:rsid w:val="0013400A"/>
    <w:rsid w:val="0013486C"/>
    <w:rsid w:val="00134D6F"/>
    <w:rsid w:val="001355D1"/>
    <w:rsid w:val="00137C50"/>
    <w:rsid w:val="0014013B"/>
    <w:rsid w:val="00140438"/>
    <w:rsid w:val="00140867"/>
    <w:rsid w:val="001438A7"/>
    <w:rsid w:val="00144A60"/>
    <w:rsid w:val="001457C1"/>
    <w:rsid w:val="00145B5F"/>
    <w:rsid w:val="00147041"/>
    <w:rsid w:val="001530FC"/>
    <w:rsid w:val="00154D79"/>
    <w:rsid w:val="00154EEA"/>
    <w:rsid w:val="001551DA"/>
    <w:rsid w:val="00157473"/>
    <w:rsid w:val="001578BA"/>
    <w:rsid w:val="00157F4F"/>
    <w:rsid w:val="001608A3"/>
    <w:rsid w:val="00162623"/>
    <w:rsid w:val="00163E5B"/>
    <w:rsid w:val="001656B3"/>
    <w:rsid w:val="0016638A"/>
    <w:rsid w:val="001664FC"/>
    <w:rsid w:val="001672D0"/>
    <w:rsid w:val="0017119A"/>
    <w:rsid w:val="00172631"/>
    <w:rsid w:val="00173F57"/>
    <w:rsid w:val="001741C8"/>
    <w:rsid w:val="00182E44"/>
    <w:rsid w:val="0018478C"/>
    <w:rsid w:val="00185291"/>
    <w:rsid w:val="00185DBC"/>
    <w:rsid w:val="00187199"/>
    <w:rsid w:val="00190F9E"/>
    <w:rsid w:val="0019393F"/>
    <w:rsid w:val="0019435D"/>
    <w:rsid w:val="00195FCF"/>
    <w:rsid w:val="00196CAB"/>
    <w:rsid w:val="001976D4"/>
    <w:rsid w:val="001978A7"/>
    <w:rsid w:val="001A1F4C"/>
    <w:rsid w:val="001A4F15"/>
    <w:rsid w:val="001A7F03"/>
    <w:rsid w:val="001B0DF3"/>
    <w:rsid w:val="001B15B1"/>
    <w:rsid w:val="001B1C2F"/>
    <w:rsid w:val="001B373E"/>
    <w:rsid w:val="001B4490"/>
    <w:rsid w:val="001B50A7"/>
    <w:rsid w:val="001B7433"/>
    <w:rsid w:val="001B7455"/>
    <w:rsid w:val="001C12A7"/>
    <w:rsid w:val="001C1D2F"/>
    <w:rsid w:val="001C1DDC"/>
    <w:rsid w:val="001C41B8"/>
    <w:rsid w:val="001C609D"/>
    <w:rsid w:val="001C752C"/>
    <w:rsid w:val="001D2222"/>
    <w:rsid w:val="001D4FA6"/>
    <w:rsid w:val="001D73B9"/>
    <w:rsid w:val="001D7499"/>
    <w:rsid w:val="001E330F"/>
    <w:rsid w:val="001E3D91"/>
    <w:rsid w:val="001E43F2"/>
    <w:rsid w:val="001E5084"/>
    <w:rsid w:val="001E5844"/>
    <w:rsid w:val="001E7901"/>
    <w:rsid w:val="001F0F7C"/>
    <w:rsid w:val="001F2156"/>
    <w:rsid w:val="001F30D8"/>
    <w:rsid w:val="001F42EB"/>
    <w:rsid w:val="001F4904"/>
    <w:rsid w:val="00203469"/>
    <w:rsid w:val="00203547"/>
    <w:rsid w:val="0020430A"/>
    <w:rsid w:val="00204A63"/>
    <w:rsid w:val="00204D1D"/>
    <w:rsid w:val="002059E0"/>
    <w:rsid w:val="00212603"/>
    <w:rsid w:val="00212643"/>
    <w:rsid w:val="00213007"/>
    <w:rsid w:val="00213DC1"/>
    <w:rsid w:val="0021404D"/>
    <w:rsid w:val="0021635B"/>
    <w:rsid w:val="00217AE7"/>
    <w:rsid w:val="00220A8E"/>
    <w:rsid w:val="00225F60"/>
    <w:rsid w:val="0022603B"/>
    <w:rsid w:val="00226116"/>
    <w:rsid w:val="00227C2B"/>
    <w:rsid w:val="00227D2E"/>
    <w:rsid w:val="00230B63"/>
    <w:rsid w:val="00231120"/>
    <w:rsid w:val="00232618"/>
    <w:rsid w:val="002355A6"/>
    <w:rsid w:val="00235687"/>
    <w:rsid w:val="00242874"/>
    <w:rsid w:val="00246490"/>
    <w:rsid w:val="00250B06"/>
    <w:rsid w:val="002553F6"/>
    <w:rsid w:val="0025688D"/>
    <w:rsid w:val="00256B66"/>
    <w:rsid w:val="00256EF6"/>
    <w:rsid w:val="00257955"/>
    <w:rsid w:val="00261641"/>
    <w:rsid w:val="00262185"/>
    <w:rsid w:val="002649B0"/>
    <w:rsid w:val="00267333"/>
    <w:rsid w:val="0026776A"/>
    <w:rsid w:val="0027208F"/>
    <w:rsid w:val="00275808"/>
    <w:rsid w:val="00276918"/>
    <w:rsid w:val="00280210"/>
    <w:rsid w:val="00284A45"/>
    <w:rsid w:val="00284C37"/>
    <w:rsid w:val="00285E26"/>
    <w:rsid w:val="00285E44"/>
    <w:rsid w:val="0028706D"/>
    <w:rsid w:val="00287945"/>
    <w:rsid w:val="00290239"/>
    <w:rsid w:val="00290384"/>
    <w:rsid w:val="00290D96"/>
    <w:rsid w:val="002935E1"/>
    <w:rsid w:val="002940E5"/>
    <w:rsid w:val="002A490A"/>
    <w:rsid w:val="002A675C"/>
    <w:rsid w:val="002B1316"/>
    <w:rsid w:val="002B49DF"/>
    <w:rsid w:val="002B4E7C"/>
    <w:rsid w:val="002B63C0"/>
    <w:rsid w:val="002B6484"/>
    <w:rsid w:val="002B7319"/>
    <w:rsid w:val="002C0CEB"/>
    <w:rsid w:val="002C0F36"/>
    <w:rsid w:val="002C150F"/>
    <w:rsid w:val="002C181B"/>
    <w:rsid w:val="002C1EB7"/>
    <w:rsid w:val="002C59EB"/>
    <w:rsid w:val="002C68B2"/>
    <w:rsid w:val="002C736E"/>
    <w:rsid w:val="002D226E"/>
    <w:rsid w:val="002D61C3"/>
    <w:rsid w:val="002D631D"/>
    <w:rsid w:val="002E35F4"/>
    <w:rsid w:val="002E3B9C"/>
    <w:rsid w:val="002E3F41"/>
    <w:rsid w:val="002E670E"/>
    <w:rsid w:val="002E6FC9"/>
    <w:rsid w:val="002F4B87"/>
    <w:rsid w:val="002F4D29"/>
    <w:rsid w:val="002F521B"/>
    <w:rsid w:val="002F7153"/>
    <w:rsid w:val="00301ED7"/>
    <w:rsid w:val="00305C77"/>
    <w:rsid w:val="00306634"/>
    <w:rsid w:val="00306BE5"/>
    <w:rsid w:val="00311216"/>
    <w:rsid w:val="0031170A"/>
    <w:rsid w:val="0031488C"/>
    <w:rsid w:val="003154F9"/>
    <w:rsid w:val="00316BCF"/>
    <w:rsid w:val="0031771F"/>
    <w:rsid w:val="0032043B"/>
    <w:rsid w:val="003231FC"/>
    <w:rsid w:val="0032465B"/>
    <w:rsid w:val="00326FD1"/>
    <w:rsid w:val="00327560"/>
    <w:rsid w:val="003333C3"/>
    <w:rsid w:val="00335B51"/>
    <w:rsid w:val="00336E0B"/>
    <w:rsid w:val="00337A2A"/>
    <w:rsid w:val="00337FAB"/>
    <w:rsid w:val="00341BF2"/>
    <w:rsid w:val="0034202D"/>
    <w:rsid w:val="00342BF2"/>
    <w:rsid w:val="0034486B"/>
    <w:rsid w:val="00344A7A"/>
    <w:rsid w:val="00347045"/>
    <w:rsid w:val="00347E3B"/>
    <w:rsid w:val="003524C8"/>
    <w:rsid w:val="0035479D"/>
    <w:rsid w:val="003549D3"/>
    <w:rsid w:val="00356816"/>
    <w:rsid w:val="00360640"/>
    <w:rsid w:val="00360D5A"/>
    <w:rsid w:val="003612BB"/>
    <w:rsid w:val="00361363"/>
    <w:rsid w:val="00362870"/>
    <w:rsid w:val="00365232"/>
    <w:rsid w:val="00365D30"/>
    <w:rsid w:val="00365F21"/>
    <w:rsid w:val="003669EE"/>
    <w:rsid w:val="00366D7D"/>
    <w:rsid w:val="00370FB1"/>
    <w:rsid w:val="00374AD9"/>
    <w:rsid w:val="003835DA"/>
    <w:rsid w:val="00383FE1"/>
    <w:rsid w:val="00385967"/>
    <w:rsid w:val="00386919"/>
    <w:rsid w:val="00386CB3"/>
    <w:rsid w:val="003901B3"/>
    <w:rsid w:val="00390254"/>
    <w:rsid w:val="003935C6"/>
    <w:rsid w:val="0039431B"/>
    <w:rsid w:val="00395D0C"/>
    <w:rsid w:val="003A4467"/>
    <w:rsid w:val="003B717F"/>
    <w:rsid w:val="003C000A"/>
    <w:rsid w:val="003C11A9"/>
    <w:rsid w:val="003C36BF"/>
    <w:rsid w:val="003C3768"/>
    <w:rsid w:val="003C456B"/>
    <w:rsid w:val="003C46C4"/>
    <w:rsid w:val="003C6416"/>
    <w:rsid w:val="003C6C37"/>
    <w:rsid w:val="003D0D50"/>
    <w:rsid w:val="003D2049"/>
    <w:rsid w:val="003D5CF5"/>
    <w:rsid w:val="003D7479"/>
    <w:rsid w:val="003E06F9"/>
    <w:rsid w:val="003E1D80"/>
    <w:rsid w:val="003E264F"/>
    <w:rsid w:val="003E4B13"/>
    <w:rsid w:val="003E4DD8"/>
    <w:rsid w:val="003F12D4"/>
    <w:rsid w:val="003F2B80"/>
    <w:rsid w:val="003F4063"/>
    <w:rsid w:val="003F5F73"/>
    <w:rsid w:val="003F6469"/>
    <w:rsid w:val="004038D3"/>
    <w:rsid w:val="00407CF2"/>
    <w:rsid w:val="00407FD1"/>
    <w:rsid w:val="00410D7C"/>
    <w:rsid w:val="004115C1"/>
    <w:rsid w:val="0041414E"/>
    <w:rsid w:val="00414FA9"/>
    <w:rsid w:val="00416C5A"/>
    <w:rsid w:val="004175C7"/>
    <w:rsid w:val="0041783C"/>
    <w:rsid w:val="00422D0F"/>
    <w:rsid w:val="00425A36"/>
    <w:rsid w:val="00426307"/>
    <w:rsid w:val="004277D8"/>
    <w:rsid w:val="00431614"/>
    <w:rsid w:val="0043253B"/>
    <w:rsid w:val="00432597"/>
    <w:rsid w:val="00434AEC"/>
    <w:rsid w:val="004358AA"/>
    <w:rsid w:val="00435FD8"/>
    <w:rsid w:val="00442074"/>
    <w:rsid w:val="00442879"/>
    <w:rsid w:val="0044293D"/>
    <w:rsid w:val="00442A72"/>
    <w:rsid w:val="00443EE3"/>
    <w:rsid w:val="004501F9"/>
    <w:rsid w:val="00450AA1"/>
    <w:rsid w:val="00451AF5"/>
    <w:rsid w:val="00452390"/>
    <w:rsid w:val="00454153"/>
    <w:rsid w:val="00455049"/>
    <w:rsid w:val="004571D9"/>
    <w:rsid w:val="00457F7B"/>
    <w:rsid w:val="0046121B"/>
    <w:rsid w:val="00461765"/>
    <w:rsid w:val="00461973"/>
    <w:rsid w:val="00461F31"/>
    <w:rsid w:val="004625CE"/>
    <w:rsid w:val="00465290"/>
    <w:rsid w:val="00466D9B"/>
    <w:rsid w:val="00466F93"/>
    <w:rsid w:val="0046742F"/>
    <w:rsid w:val="00467E2F"/>
    <w:rsid w:val="00472816"/>
    <w:rsid w:val="004733E3"/>
    <w:rsid w:val="00473DCB"/>
    <w:rsid w:val="00474A98"/>
    <w:rsid w:val="004757FF"/>
    <w:rsid w:val="00476149"/>
    <w:rsid w:val="0047645F"/>
    <w:rsid w:val="004802A4"/>
    <w:rsid w:val="00480B0A"/>
    <w:rsid w:val="004814D7"/>
    <w:rsid w:val="004820E1"/>
    <w:rsid w:val="004850ED"/>
    <w:rsid w:val="00487E6A"/>
    <w:rsid w:val="004918A6"/>
    <w:rsid w:val="00493F35"/>
    <w:rsid w:val="00495734"/>
    <w:rsid w:val="00495A38"/>
    <w:rsid w:val="004961E8"/>
    <w:rsid w:val="00497BEA"/>
    <w:rsid w:val="004A0A0A"/>
    <w:rsid w:val="004A0DF9"/>
    <w:rsid w:val="004A28F6"/>
    <w:rsid w:val="004A2CB0"/>
    <w:rsid w:val="004A3AFD"/>
    <w:rsid w:val="004A536F"/>
    <w:rsid w:val="004A5BE8"/>
    <w:rsid w:val="004B258E"/>
    <w:rsid w:val="004B5916"/>
    <w:rsid w:val="004B6BB4"/>
    <w:rsid w:val="004B7893"/>
    <w:rsid w:val="004C06FD"/>
    <w:rsid w:val="004C237F"/>
    <w:rsid w:val="004C5E65"/>
    <w:rsid w:val="004C721F"/>
    <w:rsid w:val="004C7D14"/>
    <w:rsid w:val="004D2694"/>
    <w:rsid w:val="004D6B9D"/>
    <w:rsid w:val="004E126F"/>
    <w:rsid w:val="004E1A78"/>
    <w:rsid w:val="004E226C"/>
    <w:rsid w:val="004E315F"/>
    <w:rsid w:val="004E67C5"/>
    <w:rsid w:val="004F1401"/>
    <w:rsid w:val="004F16E9"/>
    <w:rsid w:val="004F3061"/>
    <w:rsid w:val="004F3356"/>
    <w:rsid w:val="004F43E3"/>
    <w:rsid w:val="004F5D25"/>
    <w:rsid w:val="004F7AFD"/>
    <w:rsid w:val="00501421"/>
    <w:rsid w:val="0050173E"/>
    <w:rsid w:val="00504415"/>
    <w:rsid w:val="0050514C"/>
    <w:rsid w:val="005052AC"/>
    <w:rsid w:val="00505496"/>
    <w:rsid w:val="005063B5"/>
    <w:rsid w:val="00510D8D"/>
    <w:rsid w:val="00512724"/>
    <w:rsid w:val="005141E8"/>
    <w:rsid w:val="00515EA4"/>
    <w:rsid w:val="00516CFE"/>
    <w:rsid w:val="0052087D"/>
    <w:rsid w:val="00520CAB"/>
    <w:rsid w:val="005216D5"/>
    <w:rsid w:val="005216F1"/>
    <w:rsid w:val="00523224"/>
    <w:rsid w:val="00526DC0"/>
    <w:rsid w:val="0053070F"/>
    <w:rsid w:val="005311F1"/>
    <w:rsid w:val="0053776C"/>
    <w:rsid w:val="005400ED"/>
    <w:rsid w:val="00540891"/>
    <w:rsid w:val="005408CE"/>
    <w:rsid w:val="00541019"/>
    <w:rsid w:val="00541E9B"/>
    <w:rsid w:val="0054538B"/>
    <w:rsid w:val="005459B7"/>
    <w:rsid w:val="0054606A"/>
    <w:rsid w:val="00547960"/>
    <w:rsid w:val="005502FC"/>
    <w:rsid w:val="0055566B"/>
    <w:rsid w:val="005566B4"/>
    <w:rsid w:val="005574A4"/>
    <w:rsid w:val="00562470"/>
    <w:rsid w:val="0056281F"/>
    <w:rsid w:val="005632E4"/>
    <w:rsid w:val="00563A5B"/>
    <w:rsid w:val="005647DC"/>
    <w:rsid w:val="00565967"/>
    <w:rsid w:val="00565D4E"/>
    <w:rsid w:val="00570BAC"/>
    <w:rsid w:val="005769D3"/>
    <w:rsid w:val="005807BB"/>
    <w:rsid w:val="005811DC"/>
    <w:rsid w:val="00581FE1"/>
    <w:rsid w:val="00583D9B"/>
    <w:rsid w:val="0058645D"/>
    <w:rsid w:val="00590199"/>
    <w:rsid w:val="005919F4"/>
    <w:rsid w:val="005939EC"/>
    <w:rsid w:val="005971DA"/>
    <w:rsid w:val="005A0AEA"/>
    <w:rsid w:val="005A4021"/>
    <w:rsid w:val="005A4E63"/>
    <w:rsid w:val="005B044B"/>
    <w:rsid w:val="005B73D8"/>
    <w:rsid w:val="005C3EDB"/>
    <w:rsid w:val="005C4A16"/>
    <w:rsid w:val="005C5416"/>
    <w:rsid w:val="005C6BD6"/>
    <w:rsid w:val="005D10AA"/>
    <w:rsid w:val="005D15BB"/>
    <w:rsid w:val="005D65CB"/>
    <w:rsid w:val="005E05CF"/>
    <w:rsid w:val="005E0DB6"/>
    <w:rsid w:val="005E35D7"/>
    <w:rsid w:val="005E47AC"/>
    <w:rsid w:val="005E50A8"/>
    <w:rsid w:val="005E546C"/>
    <w:rsid w:val="005F0932"/>
    <w:rsid w:val="005F2C5A"/>
    <w:rsid w:val="005F2CDE"/>
    <w:rsid w:val="005F4C05"/>
    <w:rsid w:val="005F5DEE"/>
    <w:rsid w:val="005F64B3"/>
    <w:rsid w:val="00600785"/>
    <w:rsid w:val="00601D8A"/>
    <w:rsid w:val="00604A7B"/>
    <w:rsid w:val="00605301"/>
    <w:rsid w:val="006053FC"/>
    <w:rsid w:val="00605996"/>
    <w:rsid w:val="00605FB5"/>
    <w:rsid w:val="00607183"/>
    <w:rsid w:val="006079D6"/>
    <w:rsid w:val="00611BF7"/>
    <w:rsid w:val="00613844"/>
    <w:rsid w:val="00614CD8"/>
    <w:rsid w:val="00614E06"/>
    <w:rsid w:val="00614E84"/>
    <w:rsid w:val="00615408"/>
    <w:rsid w:val="0061574A"/>
    <w:rsid w:val="00616A1A"/>
    <w:rsid w:val="00617E79"/>
    <w:rsid w:val="006203A5"/>
    <w:rsid w:val="00623327"/>
    <w:rsid w:val="00623858"/>
    <w:rsid w:val="00627B67"/>
    <w:rsid w:val="00630D95"/>
    <w:rsid w:val="00630FBC"/>
    <w:rsid w:val="00631660"/>
    <w:rsid w:val="006316E5"/>
    <w:rsid w:val="00631B47"/>
    <w:rsid w:val="00634AC6"/>
    <w:rsid w:val="00637D6E"/>
    <w:rsid w:val="00640CE5"/>
    <w:rsid w:val="0064170C"/>
    <w:rsid w:val="00641F9B"/>
    <w:rsid w:val="006517E3"/>
    <w:rsid w:val="006527E7"/>
    <w:rsid w:val="006573B5"/>
    <w:rsid w:val="00657F4B"/>
    <w:rsid w:val="00660866"/>
    <w:rsid w:val="00663453"/>
    <w:rsid w:val="00664332"/>
    <w:rsid w:val="006660A4"/>
    <w:rsid w:val="006668C5"/>
    <w:rsid w:val="006723D2"/>
    <w:rsid w:val="006723F2"/>
    <w:rsid w:val="00675196"/>
    <w:rsid w:val="00683099"/>
    <w:rsid w:val="0068312E"/>
    <w:rsid w:val="006835D4"/>
    <w:rsid w:val="00685B86"/>
    <w:rsid w:val="00687A13"/>
    <w:rsid w:val="00687EEC"/>
    <w:rsid w:val="00691D0E"/>
    <w:rsid w:val="006921B4"/>
    <w:rsid w:val="0069253F"/>
    <w:rsid w:val="0069435D"/>
    <w:rsid w:val="006957E8"/>
    <w:rsid w:val="00696B12"/>
    <w:rsid w:val="006A0FB4"/>
    <w:rsid w:val="006A1A48"/>
    <w:rsid w:val="006A1ACF"/>
    <w:rsid w:val="006A21BD"/>
    <w:rsid w:val="006A23E1"/>
    <w:rsid w:val="006A527F"/>
    <w:rsid w:val="006A5B13"/>
    <w:rsid w:val="006B0935"/>
    <w:rsid w:val="006B2603"/>
    <w:rsid w:val="006B2EDA"/>
    <w:rsid w:val="006B379D"/>
    <w:rsid w:val="006B4615"/>
    <w:rsid w:val="006B4A51"/>
    <w:rsid w:val="006B6D38"/>
    <w:rsid w:val="006C0080"/>
    <w:rsid w:val="006C084B"/>
    <w:rsid w:val="006C0898"/>
    <w:rsid w:val="006C0CA2"/>
    <w:rsid w:val="006C2F5D"/>
    <w:rsid w:val="006C5FC4"/>
    <w:rsid w:val="006C6557"/>
    <w:rsid w:val="006C7BCF"/>
    <w:rsid w:val="006D162C"/>
    <w:rsid w:val="006D3722"/>
    <w:rsid w:val="006D3FC5"/>
    <w:rsid w:val="006D4978"/>
    <w:rsid w:val="006D5E79"/>
    <w:rsid w:val="006E1133"/>
    <w:rsid w:val="006E2F1E"/>
    <w:rsid w:val="006E34FF"/>
    <w:rsid w:val="006E47A7"/>
    <w:rsid w:val="006E6467"/>
    <w:rsid w:val="006E6954"/>
    <w:rsid w:val="006F070D"/>
    <w:rsid w:val="006F28AC"/>
    <w:rsid w:val="006F431B"/>
    <w:rsid w:val="006F4E9E"/>
    <w:rsid w:val="006F4F7B"/>
    <w:rsid w:val="006F606A"/>
    <w:rsid w:val="006F61AC"/>
    <w:rsid w:val="006F63EB"/>
    <w:rsid w:val="006F64AC"/>
    <w:rsid w:val="0070054A"/>
    <w:rsid w:val="007032DD"/>
    <w:rsid w:val="007037DD"/>
    <w:rsid w:val="00705A7A"/>
    <w:rsid w:val="007106CC"/>
    <w:rsid w:val="00710E93"/>
    <w:rsid w:val="00710FB8"/>
    <w:rsid w:val="007143C9"/>
    <w:rsid w:val="00716175"/>
    <w:rsid w:val="007175A8"/>
    <w:rsid w:val="00722381"/>
    <w:rsid w:val="007223E6"/>
    <w:rsid w:val="0072292C"/>
    <w:rsid w:val="0072337A"/>
    <w:rsid w:val="0072455E"/>
    <w:rsid w:val="00725DAF"/>
    <w:rsid w:val="0073047D"/>
    <w:rsid w:val="00734C92"/>
    <w:rsid w:val="007351BE"/>
    <w:rsid w:val="0073569A"/>
    <w:rsid w:val="00741509"/>
    <w:rsid w:val="0074287A"/>
    <w:rsid w:val="007428B5"/>
    <w:rsid w:val="00743214"/>
    <w:rsid w:val="00744C4F"/>
    <w:rsid w:val="00745B52"/>
    <w:rsid w:val="007505FD"/>
    <w:rsid w:val="00751BD4"/>
    <w:rsid w:val="00751D07"/>
    <w:rsid w:val="00752337"/>
    <w:rsid w:val="00752393"/>
    <w:rsid w:val="007544AE"/>
    <w:rsid w:val="00755250"/>
    <w:rsid w:val="00757158"/>
    <w:rsid w:val="0075774B"/>
    <w:rsid w:val="00766152"/>
    <w:rsid w:val="00767758"/>
    <w:rsid w:val="00772163"/>
    <w:rsid w:val="00772DA6"/>
    <w:rsid w:val="007734AF"/>
    <w:rsid w:val="00773A66"/>
    <w:rsid w:val="00784561"/>
    <w:rsid w:val="0078671A"/>
    <w:rsid w:val="00787411"/>
    <w:rsid w:val="00787E4A"/>
    <w:rsid w:val="00791E9E"/>
    <w:rsid w:val="00791F4F"/>
    <w:rsid w:val="00794E54"/>
    <w:rsid w:val="0079572C"/>
    <w:rsid w:val="007A21B0"/>
    <w:rsid w:val="007A23D0"/>
    <w:rsid w:val="007A34E3"/>
    <w:rsid w:val="007A75F9"/>
    <w:rsid w:val="007A78E4"/>
    <w:rsid w:val="007B1169"/>
    <w:rsid w:val="007B1F40"/>
    <w:rsid w:val="007B2478"/>
    <w:rsid w:val="007B41EB"/>
    <w:rsid w:val="007C1503"/>
    <w:rsid w:val="007C22CC"/>
    <w:rsid w:val="007C24F2"/>
    <w:rsid w:val="007C2D0A"/>
    <w:rsid w:val="007C3514"/>
    <w:rsid w:val="007C4290"/>
    <w:rsid w:val="007C6413"/>
    <w:rsid w:val="007C75D1"/>
    <w:rsid w:val="007D02A3"/>
    <w:rsid w:val="007D109A"/>
    <w:rsid w:val="007D360D"/>
    <w:rsid w:val="007D3683"/>
    <w:rsid w:val="007D412C"/>
    <w:rsid w:val="007D499C"/>
    <w:rsid w:val="007D6BCE"/>
    <w:rsid w:val="007D6FAE"/>
    <w:rsid w:val="007D7F19"/>
    <w:rsid w:val="007E0B42"/>
    <w:rsid w:val="007E0CFA"/>
    <w:rsid w:val="007E51A6"/>
    <w:rsid w:val="007E74CC"/>
    <w:rsid w:val="007F0AE9"/>
    <w:rsid w:val="007F4D27"/>
    <w:rsid w:val="007F5646"/>
    <w:rsid w:val="007F585E"/>
    <w:rsid w:val="007F5AEC"/>
    <w:rsid w:val="007F66CF"/>
    <w:rsid w:val="007F681C"/>
    <w:rsid w:val="008002B8"/>
    <w:rsid w:val="0080086C"/>
    <w:rsid w:val="008011B7"/>
    <w:rsid w:val="008012A8"/>
    <w:rsid w:val="008022EF"/>
    <w:rsid w:val="00802AB1"/>
    <w:rsid w:val="00804EAF"/>
    <w:rsid w:val="008051B2"/>
    <w:rsid w:val="00806246"/>
    <w:rsid w:val="00806F82"/>
    <w:rsid w:val="008119E6"/>
    <w:rsid w:val="00813F8C"/>
    <w:rsid w:val="00817D07"/>
    <w:rsid w:val="00820E47"/>
    <w:rsid w:val="008216B1"/>
    <w:rsid w:val="00822B0E"/>
    <w:rsid w:val="0082613A"/>
    <w:rsid w:val="00826536"/>
    <w:rsid w:val="00831B29"/>
    <w:rsid w:val="00832B84"/>
    <w:rsid w:val="008340D2"/>
    <w:rsid w:val="00835356"/>
    <w:rsid w:val="008372DB"/>
    <w:rsid w:val="008423FA"/>
    <w:rsid w:val="00845281"/>
    <w:rsid w:val="00845D7A"/>
    <w:rsid w:val="008465A3"/>
    <w:rsid w:val="00846625"/>
    <w:rsid w:val="008469BE"/>
    <w:rsid w:val="00850B5E"/>
    <w:rsid w:val="0085226D"/>
    <w:rsid w:val="00853647"/>
    <w:rsid w:val="008556F4"/>
    <w:rsid w:val="008604CB"/>
    <w:rsid w:val="00861330"/>
    <w:rsid w:val="00862D4D"/>
    <w:rsid w:val="00863358"/>
    <w:rsid w:val="0086369C"/>
    <w:rsid w:val="008639AF"/>
    <w:rsid w:val="008660CB"/>
    <w:rsid w:val="00866CA4"/>
    <w:rsid w:val="00870843"/>
    <w:rsid w:val="00871733"/>
    <w:rsid w:val="00872325"/>
    <w:rsid w:val="0087436E"/>
    <w:rsid w:val="00881285"/>
    <w:rsid w:val="00881503"/>
    <w:rsid w:val="00881CFD"/>
    <w:rsid w:val="00883E06"/>
    <w:rsid w:val="00884318"/>
    <w:rsid w:val="00884B8D"/>
    <w:rsid w:val="008855EF"/>
    <w:rsid w:val="00885A3A"/>
    <w:rsid w:val="008930F8"/>
    <w:rsid w:val="00896F04"/>
    <w:rsid w:val="00897A14"/>
    <w:rsid w:val="008A2ACB"/>
    <w:rsid w:val="008A2E6A"/>
    <w:rsid w:val="008A3307"/>
    <w:rsid w:val="008A5891"/>
    <w:rsid w:val="008A58A2"/>
    <w:rsid w:val="008A5C94"/>
    <w:rsid w:val="008A7758"/>
    <w:rsid w:val="008B01CE"/>
    <w:rsid w:val="008B487D"/>
    <w:rsid w:val="008B4882"/>
    <w:rsid w:val="008B6518"/>
    <w:rsid w:val="008B7006"/>
    <w:rsid w:val="008B714A"/>
    <w:rsid w:val="008B7568"/>
    <w:rsid w:val="008B7C30"/>
    <w:rsid w:val="008C0024"/>
    <w:rsid w:val="008C37BB"/>
    <w:rsid w:val="008C612D"/>
    <w:rsid w:val="008C6241"/>
    <w:rsid w:val="008C6906"/>
    <w:rsid w:val="008C7F4D"/>
    <w:rsid w:val="008D0B8A"/>
    <w:rsid w:val="008D11EB"/>
    <w:rsid w:val="008D331B"/>
    <w:rsid w:val="008E0E72"/>
    <w:rsid w:val="008E16FD"/>
    <w:rsid w:val="008E4BE7"/>
    <w:rsid w:val="008E754C"/>
    <w:rsid w:val="008E7576"/>
    <w:rsid w:val="008F0F8C"/>
    <w:rsid w:val="008F2113"/>
    <w:rsid w:val="008F2796"/>
    <w:rsid w:val="00901DE1"/>
    <w:rsid w:val="00902EDF"/>
    <w:rsid w:val="00903313"/>
    <w:rsid w:val="009059A4"/>
    <w:rsid w:val="0091451C"/>
    <w:rsid w:val="00915392"/>
    <w:rsid w:val="009164D9"/>
    <w:rsid w:val="009201BF"/>
    <w:rsid w:val="0092291C"/>
    <w:rsid w:val="00923A5C"/>
    <w:rsid w:val="00923C7F"/>
    <w:rsid w:val="00923DC3"/>
    <w:rsid w:val="0092468B"/>
    <w:rsid w:val="00925641"/>
    <w:rsid w:val="009269CD"/>
    <w:rsid w:val="0093002F"/>
    <w:rsid w:val="0093108B"/>
    <w:rsid w:val="00931AFE"/>
    <w:rsid w:val="009321E9"/>
    <w:rsid w:val="0093336F"/>
    <w:rsid w:val="00935E85"/>
    <w:rsid w:val="00941002"/>
    <w:rsid w:val="00942288"/>
    <w:rsid w:val="00943C9B"/>
    <w:rsid w:val="0095040F"/>
    <w:rsid w:val="00951263"/>
    <w:rsid w:val="00952500"/>
    <w:rsid w:val="00954CA3"/>
    <w:rsid w:val="00956273"/>
    <w:rsid w:val="00960696"/>
    <w:rsid w:val="009613C6"/>
    <w:rsid w:val="00967464"/>
    <w:rsid w:val="00967C6C"/>
    <w:rsid w:val="00974B6C"/>
    <w:rsid w:val="00977E55"/>
    <w:rsid w:val="0098104B"/>
    <w:rsid w:val="009819FF"/>
    <w:rsid w:val="00982F46"/>
    <w:rsid w:val="00983C1C"/>
    <w:rsid w:val="00985181"/>
    <w:rsid w:val="00986CBE"/>
    <w:rsid w:val="00987764"/>
    <w:rsid w:val="00991734"/>
    <w:rsid w:val="00996C79"/>
    <w:rsid w:val="009A41AC"/>
    <w:rsid w:val="009A627B"/>
    <w:rsid w:val="009A650A"/>
    <w:rsid w:val="009B0B36"/>
    <w:rsid w:val="009B3ACF"/>
    <w:rsid w:val="009B5420"/>
    <w:rsid w:val="009C09B2"/>
    <w:rsid w:val="009C1CBF"/>
    <w:rsid w:val="009C24E1"/>
    <w:rsid w:val="009C3B8D"/>
    <w:rsid w:val="009C5C0F"/>
    <w:rsid w:val="009C624D"/>
    <w:rsid w:val="009C679E"/>
    <w:rsid w:val="009D15BB"/>
    <w:rsid w:val="009D1ABA"/>
    <w:rsid w:val="009D27D9"/>
    <w:rsid w:val="009D370F"/>
    <w:rsid w:val="009D4B5A"/>
    <w:rsid w:val="009D54BF"/>
    <w:rsid w:val="009D6903"/>
    <w:rsid w:val="009E14F3"/>
    <w:rsid w:val="009E2119"/>
    <w:rsid w:val="009E2BEE"/>
    <w:rsid w:val="009E3855"/>
    <w:rsid w:val="009E5339"/>
    <w:rsid w:val="009E6110"/>
    <w:rsid w:val="009E6A63"/>
    <w:rsid w:val="009F0530"/>
    <w:rsid w:val="009F0C96"/>
    <w:rsid w:val="009F3179"/>
    <w:rsid w:val="009F65F6"/>
    <w:rsid w:val="009F7597"/>
    <w:rsid w:val="00A00E4E"/>
    <w:rsid w:val="00A01516"/>
    <w:rsid w:val="00A026D1"/>
    <w:rsid w:val="00A02F38"/>
    <w:rsid w:val="00A039A8"/>
    <w:rsid w:val="00A042B7"/>
    <w:rsid w:val="00A054CA"/>
    <w:rsid w:val="00A07F25"/>
    <w:rsid w:val="00A10A31"/>
    <w:rsid w:val="00A15048"/>
    <w:rsid w:val="00A153EF"/>
    <w:rsid w:val="00A1706D"/>
    <w:rsid w:val="00A21190"/>
    <w:rsid w:val="00A21871"/>
    <w:rsid w:val="00A223F9"/>
    <w:rsid w:val="00A228A5"/>
    <w:rsid w:val="00A25728"/>
    <w:rsid w:val="00A258FB"/>
    <w:rsid w:val="00A27AD2"/>
    <w:rsid w:val="00A31B67"/>
    <w:rsid w:val="00A328AD"/>
    <w:rsid w:val="00A3297B"/>
    <w:rsid w:val="00A340CE"/>
    <w:rsid w:val="00A36315"/>
    <w:rsid w:val="00A3661B"/>
    <w:rsid w:val="00A41E9C"/>
    <w:rsid w:val="00A42594"/>
    <w:rsid w:val="00A4464D"/>
    <w:rsid w:val="00A44BC7"/>
    <w:rsid w:val="00A45A20"/>
    <w:rsid w:val="00A45C14"/>
    <w:rsid w:val="00A50746"/>
    <w:rsid w:val="00A518E8"/>
    <w:rsid w:val="00A55B62"/>
    <w:rsid w:val="00A60C01"/>
    <w:rsid w:val="00A61434"/>
    <w:rsid w:val="00A61BA5"/>
    <w:rsid w:val="00A61D91"/>
    <w:rsid w:val="00A64ACA"/>
    <w:rsid w:val="00A66A59"/>
    <w:rsid w:val="00A70A85"/>
    <w:rsid w:val="00A72405"/>
    <w:rsid w:val="00A80D96"/>
    <w:rsid w:val="00A828C4"/>
    <w:rsid w:val="00A8342D"/>
    <w:rsid w:val="00A9049D"/>
    <w:rsid w:val="00A9058B"/>
    <w:rsid w:val="00A90938"/>
    <w:rsid w:val="00A93EE8"/>
    <w:rsid w:val="00A95189"/>
    <w:rsid w:val="00A953AA"/>
    <w:rsid w:val="00A955DB"/>
    <w:rsid w:val="00A95EA4"/>
    <w:rsid w:val="00A96B04"/>
    <w:rsid w:val="00AA0364"/>
    <w:rsid w:val="00AA52E3"/>
    <w:rsid w:val="00AA63A9"/>
    <w:rsid w:val="00AA799A"/>
    <w:rsid w:val="00AB4FF9"/>
    <w:rsid w:val="00AB715F"/>
    <w:rsid w:val="00AC0A7F"/>
    <w:rsid w:val="00AC1D89"/>
    <w:rsid w:val="00AC2C6C"/>
    <w:rsid w:val="00AC2DF2"/>
    <w:rsid w:val="00AC5F29"/>
    <w:rsid w:val="00AC5F50"/>
    <w:rsid w:val="00AD244B"/>
    <w:rsid w:val="00AD2521"/>
    <w:rsid w:val="00AD46D9"/>
    <w:rsid w:val="00AD522F"/>
    <w:rsid w:val="00AE27C1"/>
    <w:rsid w:val="00AE7170"/>
    <w:rsid w:val="00AE795A"/>
    <w:rsid w:val="00AF04B7"/>
    <w:rsid w:val="00AF147D"/>
    <w:rsid w:val="00AF15AF"/>
    <w:rsid w:val="00AF53E8"/>
    <w:rsid w:val="00AF57AF"/>
    <w:rsid w:val="00AF6684"/>
    <w:rsid w:val="00AF78F9"/>
    <w:rsid w:val="00AF7B9D"/>
    <w:rsid w:val="00B01D36"/>
    <w:rsid w:val="00B023AF"/>
    <w:rsid w:val="00B02BCE"/>
    <w:rsid w:val="00B0526E"/>
    <w:rsid w:val="00B071FA"/>
    <w:rsid w:val="00B07AE2"/>
    <w:rsid w:val="00B10132"/>
    <w:rsid w:val="00B114AE"/>
    <w:rsid w:val="00B1239B"/>
    <w:rsid w:val="00B13114"/>
    <w:rsid w:val="00B1386F"/>
    <w:rsid w:val="00B17E34"/>
    <w:rsid w:val="00B21320"/>
    <w:rsid w:val="00B2506F"/>
    <w:rsid w:val="00B31E9F"/>
    <w:rsid w:val="00B33048"/>
    <w:rsid w:val="00B3370A"/>
    <w:rsid w:val="00B35E52"/>
    <w:rsid w:val="00B3785A"/>
    <w:rsid w:val="00B37A3D"/>
    <w:rsid w:val="00B37C74"/>
    <w:rsid w:val="00B4002E"/>
    <w:rsid w:val="00B41345"/>
    <w:rsid w:val="00B43217"/>
    <w:rsid w:val="00B52F60"/>
    <w:rsid w:val="00B54DCE"/>
    <w:rsid w:val="00B557A6"/>
    <w:rsid w:val="00B55E95"/>
    <w:rsid w:val="00B5664C"/>
    <w:rsid w:val="00B571F0"/>
    <w:rsid w:val="00B61368"/>
    <w:rsid w:val="00B6181D"/>
    <w:rsid w:val="00B62343"/>
    <w:rsid w:val="00B62F3D"/>
    <w:rsid w:val="00B64D21"/>
    <w:rsid w:val="00B65EEA"/>
    <w:rsid w:val="00B677E3"/>
    <w:rsid w:val="00B70108"/>
    <w:rsid w:val="00B7095A"/>
    <w:rsid w:val="00B70A08"/>
    <w:rsid w:val="00B7291B"/>
    <w:rsid w:val="00B7445F"/>
    <w:rsid w:val="00B804F7"/>
    <w:rsid w:val="00B816BD"/>
    <w:rsid w:val="00B81AF0"/>
    <w:rsid w:val="00B82362"/>
    <w:rsid w:val="00B878AE"/>
    <w:rsid w:val="00B87AAB"/>
    <w:rsid w:val="00B92D59"/>
    <w:rsid w:val="00B941F0"/>
    <w:rsid w:val="00B94A4C"/>
    <w:rsid w:val="00B9791A"/>
    <w:rsid w:val="00BA14AB"/>
    <w:rsid w:val="00BA1ECD"/>
    <w:rsid w:val="00BA3285"/>
    <w:rsid w:val="00BA4106"/>
    <w:rsid w:val="00BA7793"/>
    <w:rsid w:val="00BA7A46"/>
    <w:rsid w:val="00BB2924"/>
    <w:rsid w:val="00BB5FD4"/>
    <w:rsid w:val="00BB771A"/>
    <w:rsid w:val="00BC0ED4"/>
    <w:rsid w:val="00BC12F3"/>
    <w:rsid w:val="00BC14E8"/>
    <w:rsid w:val="00BC273D"/>
    <w:rsid w:val="00BC3FB4"/>
    <w:rsid w:val="00BC45C5"/>
    <w:rsid w:val="00BC4A76"/>
    <w:rsid w:val="00BD2E2F"/>
    <w:rsid w:val="00BD327C"/>
    <w:rsid w:val="00BD4EBE"/>
    <w:rsid w:val="00BD7959"/>
    <w:rsid w:val="00BD7E2D"/>
    <w:rsid w:val="00BE01A8"/>
    <w:rsid w:val="00BE1069"/>
    <w:rsid w:val="00BE350C"/>
    <w:rsid w:val="00BE35F9"/>
    <w:rsid w:val="00BE3AD3"/>
    <w:rsid w:val="00BE5754"/>
    <w:rsid w:val="00BE6197"/>
    <w:rsid w:val="00BE6973"/>
    <w:rsid w:val="00BE7FF9"/>
    <w:rsid w:val="00BF034A"/>
    <w:rsid w:val="00BF1CB1"/>
    <w:rsid w:val="00BF2C16"/>
    <w:rsid w:val="00BF39FD"/>
    <w:rsid w:val="00BF4562"/>
    <w:rsid w:val="00BF622A"/>
    <w:rsid w:val="00C00825"/>
    <w:rsid w:val="00C008E0"/>
    <w:rsid w:val="00C06E27"/>
    <w:rsid w:val="00C100F9"/>
    <w:rsid w:val="00C13BCE"/>
    <w:rsid w:val="00C203F2"/>
    <w:rsid w:val="00C2092E"/>
    <w:rsid w:val="00C20BC2"/>
    <w:rsid w:val="00C21912"/>
    <w:rsid w:val="00C21B07"/>
    <w:rsid w:val="00C21D1A"/>
    <w:rsid w:val="00C2690C"/>
    <w:rsid w:val="00C27796"/>
    <w:rsid w:val="00C32646"/>
    <w:rsid w:val="00C32A5C"/>
    <w:rsid w:val="00C32B1C"/>
    <w:rsid w:val="00C3339C"/>
    <w:rsid w:val="00C3429F"/>
    <w:rsid w:val="00C34C8D"/>
    <w:rsid w:val="00C3504A"/>
    <w:rsid w:val="00C35D0E"/>
    <w:rsid w:val="00C3671F"/>
    <w:rsid w:val="00C36937"/>
    <w:rsid w:val="00C3720E"/>
    <w:rsid w:val="00C43920"/>
    <w:rsid w:val="00C44A5E"/>
    <w:rsid w:val="00C45878"/>
    <w:rsid w:val="00C45D8B"/>
    <w:rsid w:val="00C47032"/>
    <w:rsid w:val="00C505D1"/>
    <w:rsid w:val="00C51583"/>
    <w:rsid w:val="00C52E89"/>
    <w:rsid w:val="00C542C3"/>
    <w:rsid w:val="00C54D97"/>
    <w:rsid w:val="00C55E5F"/>
    <w:rsid w:val="00C578BE"/>
    <w:rsid w:val="00C60565"/>
    <w:rsid w:val="00C6111B"/>
    <w:rsid w:val="00C61E19"/>
    <w:rsid w:val="00C63268"/>
    <w:rsid w:val="00C656BD"/>
    <w:rsid w:val="00C66670"/>
    <w:rsid w:val="00C66D17"/>
    <w:rsid w:val="00C70FA5"/>
    <w:rsid w:val="00C718AB"/>
    <w:rsid w:val="00C74DE8"/>
    <w:rsid w:val="00C754B2"/>
    <w:rsid w:val="00C807DB"/>
    <w:rsid w:val="00C80DC3"/>
    <w:rsid w:val="00C81940"/>
    <w:rsid w:val="00C829AE"/>
    <w:rsid w:val="00C831D8"/>
    <w:rsid w:val="00C83FD6"/>
    <w:rsid w:val="00C85087"/>
    <w:rsid w:val="00C90240"/>
    <w:rsid w:val="00C92185"/>
    <w:rsid w:val="00C92434"/>
    <w:rsid w:val="00C9377F"/>
    <w:rsid w:val="00C95E1D"/>
    <w:rsid w:val="00C966EA"/>
    <w:rsid w:val="00C9729F"/>
    <w:rsid w:val="00CA1872"/>
    <w:rsid w:val="00CA1C83"/>
    <w:rsid w:val="00CA3A4E"/>
    <w:rsid w:val="00CB12A7"/>
    <w:rsid w:val="00CB5DDB"/>
    <w:rsid w:val="00CB654C"/>
    <w:rsid w:val="00CC046D"/>
    <w:rsid w:val="00CC0B34"/>
    <w:rsid w:val="00CC18E0"/>
    <w:rsid w:val="00CC1BF4"/>
    <w:rsid w:val="00CC3068"/>
    <w:rsid w:val="00CC436B"/>
    <w:rsid w:val="00CD1D50"/>
    <w:rsid w:val="00CD1DF8"/>
    <w:rsid w:val="00CD3DC7"/>
    <w:rsid w:val="00CD406F"/>
    <w:rsid w:val="00CD6C9B"/>
    <w:rsid w:val="00CE10F1"/>
    <w:rsid w:val="00CE12E6"/>
    <w:rsid w:val="00CE2D93"/>
    <w:rsid w:val="00CE2F42"/>
    <w:rsid w:val="00CE345C"/>
    <w:rsid w:val="00CE3792"/>
    <w:rsid w:val="00CE42F5"/>
    <w:rsid w:val="00CE5CC4"/>
    <w:rsid w:val="00CE5D31"/>
    <w:rsid w:val="00CE7593"/>
    <w:rsid w:val="00CF04A9"/>
    <w:rsid w:val="00CF1EB0"/>
    <w:rsid w:val="00CF2249"/>
    <w:rsid w:val="00CF4A30"/>
    <w:rsid w:val="00CF4C67"/>
    <w:rsid w:val="00CF6B07"/>
    <w:rsid w:val="00D01A76"/>
    <w:rsid w:val="00D02076"/>
    <w:rsid w:val="00D0391B"/>
    <w:rsid w:val="00D04281"/>
    <w:rsid w:val="00D04E85"/>
    <w:rsid w:val="00D0791D"/>
    <w:rsid w:val="00D1259E"/>
    <w:rsid w:val="00D133BD"/>
    <w:rsid w:val="00D13CDC"/>
    <w:rsid w:val="00D16C40"/>
    <w:rsid w:val="00D22852"/>
    <w:rsid w:val="00D23636"/>
    <w:rsid w:val="00D2380D"/>
    <w:rsid w:val="00D247E7"/>
    <w:rsid w:val="00D249D9"/>
    <w:rsid w:val="00D26447"/>
    <w:rsid w:val="00D27CE3"/>
    <w:rsid w:val="00D31728"/>
    <w:rsid w:val="00D317F3"/>
    <w:rsid w:val="00D32172"/>
    <w:rsid w:val="00D32D50"/>
    <w:rsid w:val="00D343FC"/>
    <w:rsid w:val="00D35AAF"/>
    <w:rsid w:val="00D44083"/>
    <w:rsid w:val="00D454A2"/>
    <w:rsid w:val="00D460BF"/>
    <w:rsid w:val="00D47652"/>
    <w:rsid w:val="00D507C0"/>
    <w:rsid w:val="00D53434"/>
    <w:rsid w:val="00D5583F"/>
    <w:rsid w:val="00D618B3"/>
    <w:rsid w:val="00D65C36"/>
    <w:rsid w:val="00D6641C"/>
    <w:rsid w:val="00D67758"/>
    <w:rsid w:val="00D6780D"/>
    <w:rsid w:val="00D72D05"/>
    <w:rsid w:val="00D75B5A"/>
    <w:rsid w:val="00D77CE7"/>
    <w:rsid w:val="00D80EB0"/>
    <w:rsid w:val="00D83A9C"/>
    <w:rsid w:val="00D856BB"/>
    <w:rsid w:val="00D876B0"/>
    <w:rsid w:val="00D8790C"/>
    <w:rsid w:val="00D93004"/>
    <w:rsid w:val="00D9375C"/>
    <w:rsid w:val="00D940E9"/>
    <w:rsid w:val="00D96897"/>
    <w:rsid w:val="00D9709B"/>
    <w:rsid w:val="00D97A02"/>
    <w:rsid w:val="00DA0F38"/>
    <w:rsid w:val="00DA145A"/>
    <w:rsid w:val="00DA1D01"/>
    <w:rsid w:val="00DA37FC"/>
    <w:rsid w:val="00DA5EFA"/>
    <w:rsid w:val="00DB004D"/>
    <w:rsid w:val="00DB0883"/>
    <w:rsid w:val="00DB1651"/>
    <w:rsid w:val="00DB3A98"/>
    <w:rsid w:val="00DB3F76"/>
    <w:rsid w:val="00DB44D2"/>
    <w:rsid w:val="00DB75D5"/>
    <w:rsid w:val="00DB7654"/>
    <w:rsid w:val="00DC30EC"/>
    <w:rsid w:val="00DC41F2"/>
    <w:rsid w:val="00DC47DC"/>
    <w:rsid w:val="00DC54B6"/>
    <w:rsid w:val="00DC6815"/>
    <w:rsid w:val="00DD326D"/>
    <w:rsid w:val="00DD3F30"/>
    <w:rsid w:val="00DD3FBF"/>
    <w:rsid w:val="00DD7F9E"/>
    <w:rsid w:val="00DE12B7"/>
    <w:rsid w:val="00DE2055"/>
    <w:rsid w:val="00DE20B4"/>
    <w:rsid w:val="00DE4611"/>
    <w:rsid w:val="00DE4BFB"/>
    <w:rsid w:val="00DE7AA7"/>
    <w:rsid w:val="00DF0760"/>
    <w:rsid w:val="00DF0CB6"/>
    <w:rsid w:val="00DF0CC4"/>
    <w:rsid w:val="00DF3082"/>
    <w:rsid w:val="00DF3719"/>
    <w:rsid w:val="00DF43DC"/>
    <w:rsid w:val="00DF483D"/>
    <w:rsid w:val="00DF4D2F"/>
    <w:rsid w:val="00DF5B42"/>
    <w:rsid w:val="00DF628C"/>
    <w:rsid w:val="00DF6C22"/>
    <w:rsid w:val="00E01C95"/>
    <w:rsid w:val="00E02431"/>
    <w:rsid w:val="00E05C7E"/>
    <w:rsid w:val="00E07676"/>
    <w:rsid w:val="00E07C14"/>
    <w:rsid w:val="00E07C31"/>
    <w:rsid w:val="00E101AC"/>
    <w:rsid w:val="00E119CA"/>
    <w:rsid w:val="00E13AE2"/>
    <w:rsid w:val="00E15066"/>
    <w:rsid w:val="00E15616"/>
    <w:rsid w:val="00E179D9"/>
    <w:rsid w:val="00E20500"/>
    <w:rsid w:val="00E27396"/>
    <w:rsid w:val="00E279AB"/>
    <w:rsid w:val="00E30D23"/>
    <w:rsid w:val="00E33ADC"/>
    <w:rsid w:val="00E34AE4"/>
    <w:rsid w:val="00E35A54"/>
    <w:rsid w:val="00E37917"/>
    <w:rsid w:val="00E42FF3"/>
    <w:rsid w:val="00E43676"/>
    <w:rsid w:val="00E461FA"/>
    <w:rsid w:val="00E503C3"/>
    <w:rsid w:val="00E5117D"/>
    <w:rsid w:val="00E51789"/>
    <w:rsid w:val="00E518CD"/>
    <w:rsid w:val="00E5497E"/>
    <w:rsid w:val="00E56664"/>
    <w:rsid w:val="00E576F8"/>
    <w:rsid w:val="00E57FBF"/>
    <w:rsid w:val="00E61CF0"/>
    <w:rsid w:val="00E62EFB"/>
    <w:rsid w:val="00E64BCB"/>
    <w:rsid w:val="00E667A3"/>
    <w:rsid w:val="00E66C35"/>
    <w:rsid w:val="00E67263"/>
    <w:rsid w:val="00E676E1"/>
    <w:rsid w:val="00E6770A"/>
    <w:rsid w:val="00E67C9C"/>
    <w:rsid w:val="00E701BB"/>
    <w:rsid w:val="00E71B8E"/>
    <w:rsid w:val="00E77649"/>
    <w:rsid w:val="00E77AD3"/>
    <w:rsid w:val="00E828DB"/>
    <w:rsid w:val="00E82EB2"/>
    <w:rsid w:val="00E85516"/>
    <w:rsid w:val="00E85536"/>
    <w:rsid w:val="00E85AA9"/>
    <w:rsid w:val="00E91601"/>
    <w:rsid w:val="00E920CC"/>
    <w:rsid w:val="00E93888"/>
    <w:rsid w:val="00E93CAA"/>
    <w:rsid w:val="00E944DE"/>
    <w:rsid w:val="00E945DB"/>
    <w:rsid w:val="00EA13BE"/>
    <w:rsid w:val="00EA1BF2"/>
    <w:rsid w:val="00EA3FE7"/>
    <w:rsid w:val="00EA40E0"/>
    <w:rsid w:val="00EA5BB6"/>
    <w:rsid w:val="00EA6223"/>
    <w:rsid w:val="00EB180B"/>
    <w:rsid w:val="00EB2865"/>
    <w:rsid w:val="00EB4794"/>
    <w:rsid w:val="00EB6218"/>
    <w:rsid w:val="00EB658C"/>
    <w:rsid w:val="00EB7329"/>
    <w:rsid w:val="00EB785D"/>
    <w:rsid w:val="00EB7CE5"/>
    <w:rsid w:val="00EC43B5"/>
    <w:rsid w:val="00EC78E1"/>
    <w:rsid w:val="00ED013D"/>
    <w:rsid w:val="00ED069D"/>
    <w:rsid w:val="00ED3204"/>
    <w:rsid w:val="00ED3515"/>
    <w:rsid w:val="00ED4D9A"/>
    <w:rsid w:val="00ED6608"/>
    <w:rsid w:val="00ED6CA7"/>
    <w:rsid w:val="00EE00B1"/>
    <w:rsid w:val="00EE172D"/>
    <w:rsid w:val="00EE30A9"/>
    <w:rsid w:val="00EE3F65"/>
    <w:rsid w:val="00EE3FFB"/>
    <w:rsid w:val="00EE5F0E"/>
    <w:rsid w:val="00EF04B3"/>
    <w:rsid w:val="00EF04FC"/>
    <w:rsid w:val="00EF4043"/>
    <w:rsid w:val="00EF4A5E"/>
    <w:rsid w:val="00EF7224"/>
    <w:rsid w:val="00EF782C"/>
    <w:rsid w:val="00F0168B"/>
    <w:rsid w:val="00F0310B"/>
    <w:rsid w:val="00F037F4"/>
    <w:rsid w:val="00F04870"/>
    <w:rsid w:val="00F053CA"/>
    <w:rsid w:val="00F059DA"/>
    <w:rsid w:val="00F069B2"/>
    <w:rsid w:val="00F108D4"/>
    <w:rsid w:val="00F1230D"/>
    <w:rsid w:val="00F12EA2"/>
    <w:rsid w:val="00F136E6"/>
    <w:rsid w:val="00F23474"/>
    <w:rsid w:val="00F2445F"/>
    <w:rsid w:val="00F258E0"/>
    <w:rsid w:val="00F25C06"/>
    <w:rsid w:val="00F25D79"/>
    <w:rsid w:val="00F26354"/>
    <w:rsid w:val="00F267D0"/>
    <w:rsid w:val="00F26D61"/>
    <w:rsid w:val="00F27443"/>
    <w:rsid w:val="00F27C81"/>
    <w:rsid w:val="00F30835"/>
    <w:rsid w:val="00F317CD"/>
    <w:rsid w:val="00F31D08"/>
    <w:rsid w:val="00F327FA"/>
    <w:rsid w:val="00F3322B"/>
    <w:rsid w:val="00F33388"/>
    <w:rsid w:val="00F34B7D"/>
    <w:rsid w:val="00F35775"/>
    <w:rsid w:val="00F35E64"/>
    <w:rsid w:val="00F362F8"/>
    <w:rsid w:val="00F4126B"/>
    <w:rsid w:val="00F44474"/>
    <w:rsid w:val="00F454EE"/>
    <w:rsid w:val="00F4600A"/>
    <w:rsid w:val="00F51768"/>
    <w:rsid w:val="00F519AF"/>
    <w:rsid w:val="00F51A13"/>
    <w:rsid w:val="00F55838"/>
    <w:rsid w:val="00F6303F"/>
    <w:rsid w:val="00F64294"/>
    <w:rsid w:val="00F64583"/>
    <w:rsid w:val="00F655F8"/>
    <w:rsid w:val="00F6729D"/>
    <w:rsid w:val="00F67DFF"/>
    <w:rsid w:val="00F700AD"/>
    <w:rsid w:val="00F70964"/>
    <w:rsid w:val="00F71432"/>
    <w:rsid w:val="00F7454C"/>
    <w:rsid w:val="00F75202"/>
    <w:rsid w:val="00F76750"/>
    <w:rsid w:val="00F77BCA"/>
    <w:rsid w:val="00F8080D"/>
    <w:rsid w:val="00F8203B"/>
    <w:rsid w:val="00F8338B"/>
    <w:rsid w:val="00F83709"/>
    <w:rsid w:val="00F85D07"/>
    <w:rsid w:val="00F91262"/>
    <w:rsid w:val="00F93779"/>
    <w:rsid w:val="00F943E0"/>
    <w:rsid w:val="00F94916"/>
    <w:rsid w:val="00F9561E"/>
    <w:rsid w:val="00F96C5C"/>
    <w:rsid w:val="00FA2977"/>
    <w:rsid w:val="00FA3DA9"/>
    <w:rsid w:val="00FA466D"/>
    <w:rsid w:val="00FB0B5F"/>
    <w:rsid w:val="00FB0E73"/>
    <w:rsid w:val="00FB13F8"/>
    <w:rsid w:val="00FB164E"/>
    <w:rsid w:val="00FB3268"/>
    <w:rsid w:val="00FB3907"/>
    <w:rsid w:val="00FB3B7D"/>
    <w:rsid w:val="00FB4B84"/>
    <w:rsid w:val="00FB4E65"/>
    <w:rsid w:val="00FB5D85"/>
    <w:rsid w:val="00FB72AB"/>
    <w:rsid w:val="00FC2450"/>
    <w:rsid w:val="00FC27E4"/>
    <w:rsid w:val="00FC2D18"/>
    <w:rsid w:val="00FC31B5"/>
    <w:rsid w:val="00FC325E"/>
    <w:rsid w:val="00FC531C"/>
    <w:rsid w:val="00FD0857"/>
    <w:rsid w:val="00FD5821"/>
    <w:rsid w:val="00FE03AC"/>
    <w:rsid w:val="00FE4D50"/>
    <w:rsid w:val="00FE585A"/>
    <w:rsid w:val="00FE64AC"/>
    <w:rsid w:val="00FF0313"/>
    <w:rsid w:val="00FF0947"/>
    <w:rsid w:val="00FF12F4"/>
    <w:rsid w:val="00FF1B2D"/>
    <w:rsid w:val="00FF2C0F"/>
    <w:rsid w:val="00FF33D5"/>
    <w:rsid w:val="00FF3B9A"/>
    <w:rsid w:val="00FF40D7"/>
    <w:rsid w:val="00FF7DD5"/>
    <w:rsid w:val="00FF7E3A"/>
    <w:rsid w:val="0A910376"/>
    <w:rsid w:val="0D21789F"/>
    <w:rsid w:val="0DB5640A"/>
    <w:rsid w:val="19D16E0A"/>
    <w:rsid w:val="26F739A6"/>
    <w:rsid w:val="2D2D30BB"/>
    <w:rsid w:val="2D5C079B"/>
    <w:rsid w:val="417F5983"/>
    <w:rsid w:val="54D258A3"/>
    <w:rsid w:val="57707A82"/>
    <w:rsid w:val="6D24429C"/>
    <w:rsid w:val="766A2DD4"/>
    <w:rsid w:val="7EAE4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locked/>
    <w:uiPriority w:val="0"/>
    <w:pPr>
      <w:keepNext/>
      <w:keepLines/>
      <w:autoSpaceDE w:val="0"/>
      <w:autoSpaceDN w:val="0"/>
      <w:adjustRightInd w:val="0"/>
      <w:spacing w:before="340" w:after="330" w:line="578" w:lineRule="auto"/>
      <w:jc w:val="left"/>
      <w:outlineLvl w:val="0"/>
    </w:pPr>
    <w:rPr>
      <w:rFonts w:ascii="宋体"/>
      <w:b/>
      <w:bCs/>
      <w:kern w:val="44"/>
      <w:sz w:val="44"/>
      <w:szCs w:val="44"/>
    </w:rPr>
  </w:style>
  <w:style w:type="paragraph" w:styleId="3">
    <w:name w:val="heading 2"/>
    <w:basedOn w:val="1"/>
    <w:next w:val="1"/>
    <w:link w:val="35"/>
    <w:qFormat/>
    <w:locked/>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locked/>
    <w:uiPriority w:val="0"/>
    <w:pPr>
      <w:keepNext/>
      <w:keepLines/>
      <w:spacing w:before="260" w:after="260" w:line="416" w:lineRule="auto"/>
      <w:outlineLvl w:val="2"/>
    </w:pPr>
    <w:rPr>
      <w:b/>
      <w:bCs/>
      <w:sz w:val="32"/>
      <w:szCs w:val="32"/>
    </w:rPr>
  </w:style>
  <w:style w:type="paragraph" w:styleId="5">
    <w:name w:val="heading 4"/>
    <w:basedOn w:val="1"/>
    <w:next w:val="1"/>
    <w:link w:val="37"/>
    <w:qFormat/>
    <w:locked/>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6"/>
    <w:semiHidden/>
    <w:qFormat/>
    <w:uiPriority w:val="0"/>
    <w:rPr>
      <w:b/>
      <w:bCs/>
    </w:rPr>
  </w:style>
  <w:style w:type="paragraph" w:styleId="7">
    <w:name w:val="annotation text"/>
    <w:basedOn w:val="1"/>
    <w:link w:val="47"/>
    <w:semiHidden/>
    <w:qFormat/>
    <w:uiPriority w:val="0"/>
    <w:pPr>
      <w:jc w:val="left"/>
    </w:pPr>
    <w:rPr>
      <w:sz w:val="24"/>
    </w:rPr>
  </w:style>
  <w:style w:type="paragraph" w:styleId="8">
    <w:name w:val="Normal Indent"/>
    <w:basedOn w:val="1"/>
    <w:qFormat/>
    <w:uiPriority w:val="0"/>
    <w:rPr>
      <w:szCs w:val="20"/>
    </w:rPr>
  </w:style>
  <w:style w:type="paragraph" w:styleId="9">
    <w:name w:val="Document Map"/>
    <w:basedOn w:val="1"/>
    <w:link w:val="52"/>
    <w:semiHidden/>
    <w:qFormat/>
    <w:uiPriority w:val="0"/>
    <w:pPr>
      <w:shd w:val="clear" w:color="auto" w:fill="000080"/>
    </w:pPr>
    <w:rPr>
      <w:sz w:val="24"/>
    </w:rPr>
  </w:style>
  <w:style w:type="paragraph" w:styleId="10">
    <w:name w:val="Body Text 3"/>
    <w:basedOn w:val="1"/>
    <w:link w:val="57"/>
    <w:qFormat/>
    <w:uiPriority w:val="0"/>
    <w:pPr>
      <w:jc w:val="center"/>
    </w:pPr>
    <w:rPr>
      <w:sz w:val="24"/>
    </w:rPr>
  </w:style>
  <w:style w:type="paragraph" w:styleId="11">
    <w:name w:val="Body Text"/>
    <w:basedOn w:val="1"/>
    <w:link w:val="59"/>
    <w:qFormat/>
    <w:uiPriority w:val="0"/>
    <w:pPr>
      <w:spacing w:after="120"/>
    </w:pPr>
    <w:rPr>
      <w:sz w:val="24"/>
    </w:rPr>
  </w:style>
  <w:style w:type="paragraph" w:styleId="12">
    <w:name w:val="Body Text Indent"/>
    <w:basedOn w:val="1"/>
    <w:link w:val="45"/>
    <w:qFormat/>
    <w:uiPriority w:val="0"/>
    <w:pPr>
      <w:spacing w:after="120"/>
      <w:ind w:left="420"/>
    </w:pPr>
    <w:rPr>
      <w:sz w:val="24"/>
    </w:rPr>
  </w:style>
  <w:style w:type="paragraph" w:styleId="13">
    <w:name w:val="Block Text"/>
    <w:basedOn w:val="1"/>
    <w:qFormat/>
    <w:uiPriority w:val="0"/>
    <w:pPr>
      <w:ind w:left="-359" w:leftChars="-171" w:right="-874" w:rightChars="-416"/>
      <w:jc w:val="left"/>
    </w:pPr>
    <w:rPr>
      <w:sz w:val="36"/>
    </w:rPr>
  </w:style>
  <w:style w:type="paragraph" w:styleId="14">
    <w:name w:val="Plain Text"/>
    <w:basedOn w:val="1"/>
    <w:link w:val="54"/>
    <w:qFormat/>
    <w:uiPriority w:val="0"/>
    <w:rPr>
      <w:rFonts w:ascii="宋体" w:hAnsi="Courier New"/>
      <w:szCs w:val="21"/>
    </w:rPr>
  </w:style>
  <w:style w:type="paragraph" w:styleId="15">
    <w:name w:val="Date"/>
    <w:basedOn w:val="1"/>
    <w:next w:val="1"/>
    <w:link w:val="43"/>
    <w:qFormat/>
    <w:uiPriority w:val="0"/>
    <w:pPr>
      <w:snapToGrid w:val="0"/>
      <w:spacing w:after="60" w:line="360" w:lineRule="auto"/>
    </w:pPr>
    <w:rPr>
      <w:rFonts w:ascii="宋体" w:hAnsi="宋体"/>
      <w:sz w:val="24"/>
      <w:szCs w:val="20"/>
    </w:rPr>
  </w:style>
  <w:style w:type="paragraph" w:styleId="16">
    <w:name w:val="Body Text Indent 2"/>
    <w:basedOn w:val="1"/>
    <w:link w:val="49"/>
    <w:qFormat/>
    <w:uiPriority w:val="0"/>
    <w:pPr>
      <w:spacing w:after="120" w:line="480" w:lineRule="auto"/>
      <w:ind w:left="420"/>
    </w:pPr>
    <w:rPr>
      <w:sz w:val="24"/>
    </w:rPr>
  </w:style>
  <w:style w:type="paragraph" w:styleId="17">
    <w:name w:val="Balloon Text"/>
    <w:basedOn w:val="1"/>
    <w:link w:val="51"/>
    <w:semiHidden/>
    <w:qFormat/>
    <w:uiPriority w:val="0"/>
    <w:rPr>
      <w:sz w:val="18"/>
      <w:szCs w:val="18"/>
    </w:rPr>
  </w:style>
  <w:style w:type="paragraph" w:styleId="18">
    <w:name w:val="footer"/>
    <w:basedOn w:val="1"/>
    <w:link w:val="48"/>
    <w:qFormat/>
    <w:uiPriority w:val="99"/>
    <w:pPr>
      <w:tabs>
        <w:tab w:val="center" w:pos="4153"/>
        <w:tab w:val="right" w:pos="8306"/>
      </w:tabs>
      <w:snapToGrid w:val="0"/>
      <w:jc w:val="left"/>
    </w:pPr>
    <w:rPr>
      <w:sz w:val="18"/>
      <w:szCs w:val="18"/>
    </w:rPr>
  </w:style>
  <w:style w:type="paragraph" w:styleId="19">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semiHidden/>
    <w:qFormat/>
    <w:locked/>
    <w:uiPriority w:val="0"/>
    <w:pPr>
      <w:tabs>
        <w:tab w:val="right" w:leader="dot" w:pos="8494"/>
      </w:tabs>
      <w:spacing w:before="120" w:after="120"/>
      <w:jc w:val="left"/>
    </w:pPr>
    <w:rPr>
      <w:rFonts w:ascii="宋体" w:hAnsi="宋体"/>
      <w:b/>
      <w:bCs/>
      <w:caps/>
      <w:sz w:val="20"/>
      <w:szCs w:val="20"/>
    </w:rPr>
  </w:style>
  <w:style w:type="paragraph" w:styleId="21">
    <w:name w:val="footnote text"/>
    <w:basedOn w:val="1"/>
    <w:link w:val="60"/>
    <w:semiHidden/>
    <w:qFormat/>
    <w:uiPriority w:val="0"/>
    <w:pPr>
      <w:snapToGrid w:val="0"/>
      <w:jc w:val="left"/>
    </w:pPr>
    <w:rPr>
      <w:sz w:val="18"/>
      <w:szCs w:val="18"/>
    </w:rPr>
  </w:style>
  <w:style w:type="paragraph" w:styleId="22">
    <w:name w:val="Body Text Indent 3"/>
    <w:basedOn w:val="1"/>
    <w:link w:val="38"/>
    <w:qFormat/>
    <w:uiPriority w:val="0"/>
    <w:pPr>
      <w:spacing w:line="360" w:lineRule="auto"/>
      <w:ind w:firstLine="645"/>
    </w:pPr>
    <w:rPr>
      <w:sz w:val="24"/>
    </w:rPr>
  </w:style>
  <w:style w:type="paragraph" w:styleId="23">
    <w:name w:val="Body Text 2"/>
    <w:basedOn w:val="1"/>
    <w:link w:val="39"/>
    <w:qFormat/>
    <w:uiPriority w:val="0"/>
    <w:pPr>
      <w:spacing w:after="120" w:line="480" w:lineRule="auto"/>
    </w:pPr>
    <w:rPr>
      <w:sz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5">
    <w:name w:val="index 1"/>
    <w:basedOn w:val="1"/>
    <w:next w:val="1"/>
    <w:semiHidden/>
    <w:qFormat/>
    <w:uiPriority w:val="0"/>
    <w:pPr>
      <w:spacing w:line="480" w:lineRule="exact"/>
      <w:ind w:firstLine="480"/>
    </w:pPr>
    <w:rPr>
      <w:rFonts w:ascii="Tahoma" w:hAnsi="Calibri" w:eastAsia="仿宋_GB2312" w:cs="Calibri"/>
      <w:sz w:val="24"/>
    </w:rPr>
  </w:style>
  <w:style w:type="character" w:styleId="27">
    <w:name w:val="Strong"/>
    <w:qFormat/>
    <w:locked/>
    <w:uiPriority w:val="0"/>
    <w:rPr>
      <w:rFonts w:cs="Times New Roman"/>
      <w:b/>
    </w:rPr>
  </w:style>
  <w:style w:type="character" w:styleId="28">
    <w:name w:val="page number"/>
    <w:qFormat/>
    <w:uiPriority w:val="0"/>
    <w:rPr>
      <w:rFonts w:cs="Times New Roman"/>
    </w:rPr>
  </w:style>
  <w:style w:type="character" w:styleId="29">
    <w:name w:val="FollowedHyperlink"/>
    <w:qFormat/>
    <w:uiPriority w:val="99"/>
    <w:rPr>
      <w:rFonts w:cs="Times New Roman"/>
      <w:color w:val="800080"/>
      <w:u w:val="single"/>
    </w:rPr>
  </w:style>
  <w:style w:type="character" w:styleId="30">
    <w:name w:val="Hyperlink"/>
    <w:qFormat/>
    <w:uiPriority w:val="99"/>
    <w:rPr>
      <w:rFonts w:cs="Times New Roman"/>
      <w:color w:val="0000FF"/>
      <w:u w:val="single"/>
    </w:rPr>
  </w:style>
  <w:style w:type="character" w:styleId="31">
    <w:name w:val="annotation reference"/>
    <w:qFormat/>
    <w:uiPriority w:val="0"/>
    <w:rPr>
      <w:sz w:val="21"/>
      <w:szCs w:val="21"/>
    </w:rPr>
  </w:style>
  <w:style w:type="table" w:styleId="33">
    <w:name w:val="Table Grid"/>
    <w:basedOn w:val="32"/>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标题 1 Char"/>
    <w:link w:val="2"/>
    <w:qFormat/>
    <w:locked/>
    <w:uiPriority w:val="0"/>
    <w:rPr>
      <w:rFonts w:ascii="宋体" w:cs="宋体"/>
      <w:b/>
      <w:bCs/>
      <w:kern w:val="44"/>
      <w:sz w:val="44"/>
      <w:szCs w:val="44"/>
    </w:rPr>
  </w:style>
  <w:style w:type="character" w:customStyle="1" w:styleId="35">
    <w:name w:val="标题 2 Char"/>
    <w:link w:val="3"/>
    <w:qFormat/>
    <w:locked/>
    <w:uiPriority w:val="0"/>
    <w:rPr>
      <w:rFonts w:ascii="Arial" w:hAnsi="Arial" w:eastAsia="黑体" w:cs="Times New Roman"/>
      <w:b/>
      <w:bCs/>
      <w:kern w:val="2"/>
      <w:sz w:val="32"/>
      <w:szCs w:val="32"/>
      <w:lang w:val="en-US" w:eastAsia="zh-CN" w:bidi="ar-SA"/>
    </w:rPr>
  </w:style>
  <w:style w:type="character" w:customStyle="1" w:styleId="36">
    <w:name w:val="标题 3 Char"/>
    <w:link w:val="4"/>
    <w:qFormat/>
    <w:locked/>
    <w:uiPriority w:val="0"/>
    <w:rPr>
      <w:rFonts w:eastAsia="宋体" w:cs="Times New Roman"/>
      <w:b/>
      <w:bCs/>
      <w:kern w:val="2"/>
      <w:sz w:val="32"/>
      <w:szCs w:val="32"/>
      <w:lang w:val="en-US" w:eastAsia="zh-CN" w:bidi="ar-SA"/>
    </w:rPr>
  </w:style>
  <w:style w:type="character" w:customStyle="1" w:styleId="37">
    <w:name w:val="标题 4 Char"/>
    <w:link w:val="5"/>
    <w:qFormat/>
    <w:locked/>
    <w:uiPriority w:val="0"/>
    <w:rPr>
      <w:rFonts w:ascii="Cambria" w:hAnsi="Cambria" w:eastAsia="宋体" w:cs="Times New Roman"/>
      <w:b/>
      <w:bCs/>
      <w:kern w:val="2"/>
      <w:sz w:val="28"/>
      <w:szCs w:val="28"/>
      <w:lang w:val="en-US" w:eastAsia="zh-CN" w:bidi="ar-SA"/>
    </w:rPr>
  </w:style>
  <w:style w:type="character" w:customStyle="1" w:styleId="38">
    <w:name w:val="正文文本缩进 3 Char"/>
    <w:link w:val="22"/>
    <w:qFormat/>
    <w:locked/>
    <w:uiPriority w:val="0"/>
    <w:rPr>
      <w:rFonts w:eastAsia="宋体" w:cs="Times New Roman"/>
      <w:kern w:val="2"/>
      <w:sz w:val="24"/>
      <w:szCs w:val="24"/>
      <w:lang w:val="en-US" w:eastAsia="zh-CN" w:bidi="ar-SA"/>
    </w:rPr>
  </w:style>
  <w:style w:type="character" w:customStyle="1" w:styleId="39">
    <w:name w:val="正文文本 2 Char"/>
    <w:link w:val="23"/>
    <w:qFormat/>
    <w:locked/>
    <w:uiPriority w:val="0"/>
    <w:rPr>
      <w:rFonts w:eastAsia="宋体" w:cs="Times New Roman"/>
      <w:kern w:val="2"/>
      <w:sz w:val="24"/>
      <w:szCs w:val="24"/>
      <w:lang w:val="en-US" w:eastAsia="zh-CN" w:bidi="ar-SA"/>
    </w:rPr>
  </w:style>
  <w:style w:type="character" w:customStyle="1" w:styleId="40">
    <w:name w:val="sp1"/>
    <w:qFormat/>
    <w:uiPriority w:val="0"/>
    <w:rPr>
      <w:b/>
      <w:sz w:val="21"/>
      <w:szCs w:val="21"/>
    </w:rPr>
  </w:style>
  <w:style w:type="character" w:customStyle="1" w:styleId="41">
    <w:name w:val="more"/>
    <w:basedOn w:val="26"/>
    <w:qFormat/>
    <w:uiPriority w:val="0"/>
  </w:style>
  <w:style w:type="character" w:customStyle="1" w:styleId="42">
    <w:name w:val="sp3"/>
    <w:qFormat/>
    <w:uiPriority w:val="0"/>
  </w:style>
  <w:style w:type="character" w:customStyle="1" w:styleId="43">
    <w:name w:val="日期 Char"/>
    <w:link w:val="15"/>
    <w:qFormat/>
    <w:locked/>
    <w:uiPriority w:val="0"/>
    <w:rPr>
      <w:rFonts w:ascii="宋体" w:hAnsi="宋体" w:eastAsia="宋体" w:cs="Times New Roman"/>
      <w:kern w:val="2"/>
      <w:sz w:val="24"/>
      <w:lang w:val="en-US" w:eastAsia="zh-CN" w:bidi="ar-SA"/>
    </w:rPr>
  </w:style>
  <w:style w:type="character" w:customStyle="1" w:styleId="44">
    <w:name w:val="hrefstyle"/>
    <w:basedOn w:val="26"/>
    <w:qFormat/>
    <w:uiPriority w:val="0"/>
  </w:style>
  <w:style w:type="character" w:customStyle="1" w:styleId="45">
    <w:name w:val="正文文本缩进 Char"/>
    <w:link w:val="12"/>
    <w:qFormat/>
    <w:locked/>
    <w:uiPriority w:val="0"/>
    <w:rPr>
      <w:rFonts w:eastAsia="宋体" w:cs="Times New Roman"/>
      <w:kern w:val="2"/>
      <w:sz w:val="24"/>
      <w:szCs w:val="24"/>
      <w:lang w:val="en-US" w:eastAsia="zh-CN" w:bidi="ar-SA"/>
    </w:rPr>
  </w:style>
  <w:style w:type="character" w:customStyle="1" w:styleId="46">
    <w:name w:val="批注主题 Char"/>
    <w:link w:val="6"/>
    <w:qFormat/>
    <w:locked/>
    <w:uiPriority w:val="0"/>
    <w:rPr>
      <w:rFonts w:eastAsia="宋体" w:cs="Times New Roman"/>
      <w:b/>
      <w:bCs/>
      <w:kern w:val="2"/>
      <w:sz w:val="24"/>
      <w:szCs w:val="24"/>
      <w:lang w:val="en-US" w:eastAsia="zh-CN" w:bidi="ar-SA"/>
    </w:rPr>
  </w:style>
  <w:style w:type="character" w:customStyle="1" w:styleId="47">
    <w:name w:val="批注文字 Char"/>
    <w:link w:val="7"/>
    <w:qFormat/>
    <w:locked/>
    <w:uiPriority w:val="0"/>
    <w:rPr>
      <w:rFonts w:eastAsia="宋体" w:cs="Times New Roman"/>
      <w:kern w:val="2"/>
      <w:sz w:val="24"/>
      <w:szCs w:val="24"/>
      <w:lang w:val="en-US" w:eastAsia="zh-CN" w:bidi="ar-SA"/>
    </w:rPr>
  </w:style>
  <w:style w:type="character" w:customStyle="1" w:styleId="48">
    <w:name w:val="页脚 Char"/>
    <w:link w:val="18"/>
    <w:qFormat/>
    <w:locked/>
    <w:uiPriority w:val="99"/>
    <w:rPr>
      <w:rFonts w:cs="Times New Roman"/>
      <w:kern w:val="2"/>
      <w:sz w:val="18"/>
      <w:szCs w:val="18"/>
    </w:rPr>
  </w:style>
  <w:style w:type="character" w:customStyle="1" w:styleId="49">
    <w:name w:val="正文文本缩进 2 Char"/>
    <w:link w:val="16"/>
    <w:qFormat/>
    <w:locked/>
    <w:uiPriority w:val="0"/>
    <w:rPr>
      <w:rFonts w:eastAsia="宋体" w:cs="Times New Roman"/>
      <w:kern w:val="2"/>
      <w:sz w:val="24"/>
      <w:szCs w:val="24"/>
      <w:lang w:val="en-US" w:eastAsia="zh-CN" w:bidi="ar-SA"/>
    </w:rPr>
  </w:style>
  <w:style w:type="character" w:customStyle="1" w:styleId="50">
    <w:name w:val="页眉 Char"/>
    <w:link w:val="19"/>
    <w:qFormat/>
    <w:locked/>
    <w:uiPriority w:val="99"/>
    <w:rPr>
      <w:rFonts w:cs="Times New Roman"/>
      <w:kern w:val="2"/>
      <w:sz w:val="18"/>
      <w:szCs w:val="18"/>
    </w:rPr>
  </w:style>
  <w:style w:type="character" w:customStyle="1" w:styleId="51">
    <w:name w:val="批注框文本 Char"/>
    <w:link w:val="17"/>
    <w:qFormat/>
    <w:locked/>
    <w:uiPriority w:val="0"/>
    <w:rPr>
      <w:rFonts w:eastAsia="宋体" w:cs="Times New Roman"/>
      <w:kern w:val="2"/>
      <w:sz w:val="18"/>
      <w:szCs w:val="18"/>
      <w:lang w:val="en-US" w:eastAsia="zh-CN" w:bidi="ar-SA"/>
    </w:rPr>
  </w:style>
  <w:style w:type="character" w:customStyle="1" w:styleId="52">
    <w:name w:val="文档结构图 Char"/>
    <w:link w:val="9"/>
    <w:qFormat/>
    <w:locked/>
    <w:uiPriority w:val="0"/>
    <w:rPr>
      <w:rFonts w:eastAsia="宋体" w:cs="Times New Roman"/>
      <w:kern w:val="2"/>
      <w:sz w:val="24"/>
      <w:szCs w:val="24"/>
      <w:lang w:val="en-US" w:eastAsia="zh-CN" w:bidi="ar-SA"/>
    </w:rPr>
  </w:style>
  <w:style w:type="character" w:customStyle="1" w:styleId="53">
    <w:name w:val="3zw1"/>
    <w:qFormat/>
    <w:uiPriority w:val="0"/>
    <w:rPr>
      <w:color w:val="000000"/>
      <w:sz w:val="21"/>
    </w:rPr>
  </w:style>
  <w:style w:type="character" w:customStyle="1" w:styleId="54">
    <w:name w:val="纯文本 Char"/>
    <w:link w:val="14"/>
    <w:qFormat/>
    <w:locked/>
    <w:uiPriority w:val="0"/>
    <w:rPr>
      <w:rFonts w:ascii="宋体" w:hAnsi="Courier New" w:eastAsia="宋体" w:cs="Times New Roman"/>
      <w:kern w:val="2"/>
      <w:sz w:val="21"/>
      <w:szCs w:val="21"/>
      <w:lang w:val="en-US" w:eastAsia="zh-CN" w:bidi="ar-SA"/>
    </w:rPr>
  </w:style>
  <w:style w:type="character" w:customStyle="1" w:styleId="55">
    <w:name w:val="段 Char1"/>
    <w:link w:val="56"/>
    <w:qFormat/>
    <w:locked/>
    <w:uiPriority w:val="0"/>
    <w:rPr>
      <w:rFonts w:ascii="宋体"/>
      <w:kern w:val="2"/>
      <w:sz w:val="22"/>
      <w:lang w:val="en-US" w:eastAsia="zh-CN" w:bidi="ar-SA"/>
    </w:rPr>
  </w:style>
  <w:style w:type="paragraph" w:customStyle="1" w:styleId="56">
    <w:name w:val="段"/>
    <w:link w:val="55"/>
    <w:qFormat/>
    <w:uiPriority w:val="0"/>
    <w:pPr>
      <w:autoSpaceDE w:val="0"/>
      <w:autoSpaceDN w:val="0"/>
      <w:ind w:firstLine="200" w:firstLineChars="200"/>
      <w:jc w:val="both"/>
    </w:pPr>
    <w:rPr>
      <w:rFonts w:ascii="宋体" w:hAnsi="Times New Roman" w:eastAsia="宋体" w:cs="Times New Roman"/>
      <w:kern w:val="2"/>
      <w:sz w:val="22"/>
      <w:lang w:val="en-US" w:eastAsia="zh-CN" w:bidi="ar-SA"/>
    </w:rPr>
  </w:style>
  <w:style w:type="character" w:customStyle="1" w:styleId="57">
    <w:name w:val="正文文本 3 Char"/>
    <w:link w:val="10"/>
    <w:qFormat/>
    <w:locked/>
    <w:uiPriority w:val="0"/>
    <w:rPr>
      <w:rFonts w:eastAsia="宋体" w:cs="Times New Roman"/>
      <w:kern w:val="2"/>
      <w:sz w:val="24"/>
      <w:szCs w:val="24"/>
      <w:lang w:val="en-US" w:eastAsia="zh-CN" w:bidi="ar-SA"/>
    </w:rPr>
  </w:style>
  <w:style w:type="character" w:customStyle="1" w:styleId="58">
    <w:name w:val="mar1"/>
    <w:qFormat/>
    <w:uiPriority w:val="0"/>
    <w:rPr>
      <w:sz w:val="20"/>
    </w:rPr>
  </w:style>
  <w:style w:type="character" w:customStyle="1" w:styleId="59">
    <w:name w:val="正文文本 Char"/>
    <w:link w:val="11"/>
    <w:qFormat/>
    <w:locked/>
    <w:uiPriority w:val="0"/>
    <w:rPr>
      <w:rFonts w:eastAsia="宋体" w:cs="Times New Roman"/>
      <w:kern w:val="2"/>
      <w:sz w:val="24"/>
      <w:szCs w:val="24"/>
      <w:lang w:val="en-US" w:eastAsia="zh-CN" w:bidi="ar-SA"/>
    </w:rPr>
  </w:style>
  <w:style w:type="character" w:customStyle="1" w:styleId="60">
    <w:name w:val="脚注文本 Char"/>
    <w:link w:val="21"/>
    <w:semiHidden/>
    <w:qFormat/>
    <w:locked/>
    <w:uiPriority w:val="0"/>
    <w:rPr>
      <w:rFonts w:eastAsia="宋体" w:cs="Times New Roman"/>
      <w:kern w:val="2"/>
      <w:sz w:val="18"/>
      <w:szCs w:val="18"/>
      <w:lang w:val="en-US" w:eastAsia="zh-CN" w:bidi="ar-SA"/>
    </w:rPr>
  </w:style>
  <w:style w:type="character" w:customStyle="1" w:styleId="61">
    <w:name w:val="apple-converted-space"/>
    <w:basedOn w:val="26"/>
    <w:qFormat/>
    <w:uiPriority w:val="0"/>
  </w:style>
  <w:style w:type="character" w:customStyle="1" w:styleId="62">
    <w:name w:val="select"/>
    <w:basedOn w:val="26"/>
    <w:qFormat/>
    <w:uiPriority w:val="0"/>
  </w:style>
  <w:style w:type="character" w:customStyle="1" w:styleId="63">
    <w:name w:val="sp2"/>
    <w:qFormat/>
    <w:uiPriority w:val="0"/>
    <w:rPr>
      <w:color w:val="FFFFFF"/>
    </w:rPr>
  </w:style>
  <w:style w:type="character" w:customStyle="1" w:styleId="64">
    <w:name w:val="on3"/>
    <w:basedOn w:val="26"/>
    <w:qFormat/>
    <w:uiPriority w:val="0"/>
  </w:style>
  <w:style w:type="character" w:customStyle="1" w:styleId="65">
    <w:name w:val="sw1"/>
    <w:qFormat/>
    <w:uiPriority w:val="0"/>
    <w:rPr>
      <w:b/>
      <w:color w:val="BC0001"/>
      <w:sz w:val="27"/>
      <w:szCs w:val="27"/>
    </w:rPr>
  </w:style>
  <w:style w:type="paragraph" w:customStyle="1" w:styleId="66">
    <w:name w:val="xl7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67">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68">
    <w:name w:val="_Style 4"/>
    <w:basedOn w:val="1"/>
    <w:next w:val="23"/>
    <w:qFormat/>
    <w:uiPriority w:val="0"/>
    <w:rPr>
      <w:rFonts w:ascii="仿宋_GB2312" w:hAnsi="宋体" w:eastAsia="仿宋_GB2312"/>
      <w:sz w:val="30"/>
      <w:szCs w:val="20"/>
    </w:rPr>
  </w:style>
  <w:style w:type="paragraph" w:customStyle="1" w:styleId="6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0">
    <w:name w:val="_Style 10"/>
    <w:basedOn w:val="1"/>
    <w:next w:val="14"/>
    <w:qFormat/>
    <w:uiPriority w:val="0"/>
    <w:rPr>
      <w:rFonts w:ascii="宋体" w:hAnsi="Courier New" w:cs="Garamond"/>
      <w:szCs w:val="20"/>
    </w:rPr>
  </w:style>
  <w:style w:type="paragraph" w:customStyle="1" w:styleId="71">
    <w:name w:val="xl6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20"/>
      <w:szCs w:val="20"/>
    </w:rPr>
  </w:style>
  <w:style w:type="paragraph" w:customStyle="1" w:styleId="72">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73">
    <w:name w:val="xl63"/>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74">
    <w:name w:val="style8"/>
    <w:basedOn w:val="1"/>
    <w:qFormat/>
    <w:uiPriority w:val="0"/>
    <w:pPr>
      <w:widowControl/>
      <w:spacing w:before="100" w:beforeAutospacing="1" w:after="100" w:afterAutospacing="1"/>
      <w:jc w:val="left"/>
    </w:pPr>
    <w:rPr>
      <w:rFonts w:ascii="宋体" w:hAnsi="宋体" w:cs="宋体"/>
      <w:kern w:val="0"/>
      <w:sz w:val="23"/>
      <w:szCs w:val="23"/>
    </w:rPr>
  </w:style>
  <w:style w:type="paragraph" w:customStyle="1" w:styleId="75">
    <w:name w:val="列出段落1"/>
    <w:basedOn w:val="1"/>
    <w:qFormat/>
    <w:uiPriority w:val="0"/>
    <w:pPr>
      <w:ind w:firstLine="420" w:firstLineChars="200"/>
    </w:pPr>
  </w:style>
  <w:style w:type="paragraph" w:customStyle="1" w:styleId="76">
    <w:name w:val=".y.."/>
    <w:basedOn w:val="1"/>
    <w:next w:val="1"/>
    <w:qFormat/>
    <w:uiPriority w:val="0"/>
    <w:pPr>
      <w:autoSpaceDE w:val="0"/>
      <w:autoSpaceDN w:val="0"/>
      <w:adjustRightInd w:val="0"/>
      <w:jc w:val="left"/>
    </w:pPr>
    <w:rPr>
      <w:rFonts w:ascii="LEMBMG+TimesNewRomanPS" w:eastAsia="LEMBMG+TimesNewRomanPS"/>
      <w:kern w:val="0"/>
      <w:sz w:val="24"/>
    </w:rPr>
  </w:style>
  <w:style w:type="paragraph" w:customStyle="1" w:styleId="77">
    <w:name w:val="List Paragraph"/>
    <w:basedOn w:val="1"/>
    <w:qFormat/>
    <w:uiPriority w:val="34"/>
    <w:pPr>
      <w:ind w:firstLine="420" w:firstLineChars="200"/>
    </w:pPr>
    <w:rPr>
      <w:rFonts w:ascii="Calibri" w:hAnsi="Calibri"/>
      <w:szCs w:val="22"/>
    </w:rPr>
  </w:style>
  <w:style w:type="paragraph" w:customStyle="1" w:styleId="78">
    <w:name w:val="TOC 标题1"/>
    <w:basedOn w:val="2"/>
    <w:next w:val="1"/>
    <w:qFormat/>
    <w:uiPriority w:val="0"/>
    <w:pPr>
      <w:widowControl/>
      <w:autoSpaceDE/>
      <w:autoSpaceDN/>
      <w:adjustRightInd/>
      <w:spacing w:before="480" w:after="0" w:line="276" w:lineRule="auto"/>
      <w:outlineLvl w:val="9"/>
    </w:pPr>
    <w:rPr>
      <w:rFonts w:ascii="Cambria" w:hAnsi="Cambria"/>
      <w:color w:val="365F91"/>
      <w:kern w:val="0"/>
      <w:sz w:val="28"/>
      <w:szCs w:val="28"/>
    </w:rPr>
  </w:style>
  <w:style w:type="paragraph" w:customStyle="1" w:styleId="79">
    <w:name w:val="Char"/>
    <w:basedOn w:val="1"/>
    <w:qFormat/>
    <w:uiPriority w:val="0"/>
    <w:pPr>
      <w:spacing w:line="240" w:lineRule="exact"/>
    </w:pPr>
    <w:rPr>
      <w:szCs w:val="20"/>
    </w:rPr>
  </w:style>
  <w:style w:type="paragraph" w:customStyle="1" w:styleId="80">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 w:type="paragraph" w:customStyle="1" w:styleId="81">
    <w:name w:val="样式2"/>
    <w:basedOn w:val="12"/>
    <w:qFormat/>
    <w:uiPriority w:val="0"/>
    <w:pPr>
      <w:tabs>
        <w:tab w:val="left" w:pos="425"/>
      </w:tabs>
      <w:spacing w:after="0" w:line="360" w:lineRule="auto"/>
      <w:ind w:left="425" w:hanging="425"/>
    </w:pPr>
    <w:rPr>
      <w:szCs w:val="20"/>
    </w:rPr>
  </w:style>
  <w:style w:type="paragraph" w:customStyle="1" w:styleId="82">
    <w:name w:val="_Style 14"/>
    <w:basedOn w:val="1"/>
    <w:next w:val="16"/>
    <w:qFormat/>
    <w:uiPriority w:val="0"/>
    <w:pPr>
      <w:autoSpaceDE w:val="0"/>
      <w:autoSpaceDN w:val="0"/>
      <w:adjustRightInd w:val="0"/>
      <w:spacing w:line="240" w:lineRule="atLeast"/>
      <w:ind w:firstLine="684"/>
    </w:pPr>
    <w:rPr>
      <w:rFonts w:ascii="仿宋_GB2312" w:eastAsia="仿宋_GB2312"/>
      <w:kern w:val="0"/>
      <w:sz w:val="30"/>
      <w:szCs w:val="20"/>
    </w:rPr>
  </w:style>
  <w:style w:type="paragraph" w:customStyle="1" w:styleId="83">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20"/>
      <w:szCs w:val="20"/>
    </w:rPr>
  </w:style>
  <w:style w:type="paragraph" w:customStyle="1" w:styleId="84">
    <w:name w:val="font6"/>
    <w:basedOn w:val="1"/>
    <w:qFormat/>
    <w:uiPriority w:val="0"/>
    <w:pPr>
      <w:widowControl/>
      <w:spacing w:before="100" w:beforeAutospacing="1" w:after="100" w:afterAutospacing="1"/>
      <w:jc w:val="left"/>
    </w:pPr>
    <w:rPr>
      <w:rFonts w:ascii="Courier New" w:hAnsi="Courier New" w:cs="Courier New"/>
      <w:kern w:val="0"/>
      <w:sz w:val="18"/>
      <w:szCs w:val="18"/>
    </w:rPr>
  </w:style>
  <w:style w:type="paragraph" w:customStyle="1" w:styleId="85">
    <w:name w:val="xl6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86">
    <w:name w:val="xl7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kern w:val="0"/>
      <w:sz w:val="24"/>
    </w:rPr>
  </w:style>
  <w:style w:type="paragraph" w:customStyle="1" w:styleId="87">
    <w:name w:val="xl6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4"/>
    </w:rPr>
  </w:style>
  <w:style w:type="paragraph" w:customStyle="1" w:styleId="88">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xl71"/>
    <w:basedOn w:val="1"/>
    <w:qFormat/>
    <w:uiPriority w:val="0"/>
    <w:pPr>
      <w:widowControl/>
      <w:pBdr>
        <w:top w:val="single" w:color="auto" w:sz="8" w:space="0"/>
        <w:left w:val="single" w:color="auto" w:sz="8" w:space="0"/>
        <w:bottom w:val="single" w:color="auto" w:sz="8" w:space="0"/>
        <w:right w:val="single" w:color="auto" w:sz="8" w:space="0"/>
      </w:pBdr>
      <w:shd w:val="clear" w:color="000000" w:fill="FF0000"/>
      <w:spacing w:before="100" w:beforeAutospacing="1" w:after="100" w:afterAutospacing="1"/>
      <w:jc w:val="center"/>
    </w:pPr>
    <w:rPr>
      <w:rFonts w:ascii="宋体" w:hAnsi="宋体" w:cs="宋体"/>
      <w:color w:val="000000"/>
      <w:kern w:val="0"/>
      <w:sz w:val="20"/>
      <w:szCs w:val="20"/>
    </w:rPr>
  </w:style>
  <w:style w:type="paragraph" w:customStyle="1" w:styleId="90">
    <w:name w:val="xl73"/>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character" w:customStyle="1" w:styleId="91">
    <w:name w:val="style191"/>
    <w:basedOn w:val="26"/>
    <w:qFormat/>
    <w:uiPriority w:val="0"/>
    <w:rPr>
      <w:b/>
      <w:bCs/>
      <w:color w:val="333333"/>
      <w:sz w:val="25"/>
      <w:szCs w:val="25"/>
    </w:rPr>
  </w:style>
  <w:style w:type="paragraph" w:customStyle="1" w:styleId="92">
    <w:name w:val="font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93">
    <w:name w:val="font8"/>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94">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5">
    <w:name w:val="xl74"/>
    <w:basedOn w:val="1"/>
    <w:qFormat/>
    <w:uiPriority w:val="0"/>
    <w:pPr>
      <w:widowControl/>
      <w:pBdr>
        <w:bottom w:val="single" w:color="auto" w:sz="8" w:space="0"/>
        <w:right w:val="single" w:color="auto" w:sz="8" w:space="0"/>
      </w:pBdr>
      <w:shd w:val="clear" w:color="auto" w:fill="FFFF00"/>
      <w:spacing w:before="100" w:beforeAutospacing="1" w:after="100" w:afterAutospacing="1"/>
      <w:jc w:val="left"/>
      <w:textAlignment w:val="top"/>
    </w:pPr>
    <w:rPr>
      <w:rFonts w:ascii="宋体" w:hAnsi="宋体" w:cs="宋体"/>
      <w:color w:val="000000"/>
      <w:kern w:val="0"/>
      <w:sz w:val="18"/>
      <w:szCs w:val="18"/>
    </w:rPr>
  </w:style>
  <w:style w:type="paragraph" w:customStyle="1" w:styleId="96">
    <w:name w:val="xl75"/>
    <w:basedOn w:val="1"/>
    <w:qFormat/>
    <w:uiPriority w:val="0"/>
    <w:pPr>
      <w:widowControl/>
      <w:pBdr>
        <w:bottom w:val="single" w:color="auto" w:sz="8" w:space="0"/>
        <w:right w:val="single" w:color="auto" w:sz="8" w:space="0"/>
      </w:pBdr>
      <w:shd w:val="clear" w:color="auto" w:fill="FFFF00"/>
      <w:spacing w:before="100" w:beforeAutospacing="1" w:after="100" w:afterAutospacing="1"/>
      <w:jc w:val="left"/>
      <w:textAlignment w:val="top"/>
    </w:pPr>
    <w:rPr>
      <w:rFonts w:ascii="宋体" w:hAnsi="宋体" w:cs="宋体"/>
      <w:kern w:val="0"/>
      <w:sz w:val="24"/>
    </w:rPr>
  </w:style>
  <w:style w:type="paragraph" w:customStyle="1" w:styleId="97">
    <w:name w:val="xl76"/>
    <w:basedOn w:val="1"/>
    <w:qFormat/>
    <w:uiPriority w:val="0"/>
    <w:pPr>
      <w:widowControl/>
      <w:pBdr>
        <w:bottom w:val="single" w:color="auto" w:sz="8" w:space="0"/>
        <w:right w:val="single" w:color="auto" w:sz="8" w:space="0"/>
      </w:pBdr>
      <w:shd w:val="clear" w:color="auto" w:fill="99CC00"/>
      <w:spacing w:before="100" w:beforeAutospacing="1" w:after="100" w:afterAutospacing="1"/>
      <w:jc w:val="left"/>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37B49F-B5EA-43C9-9108-D07BE6EC3552}">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4</Pages>
  <Words>494</Words>
  <Characters>2821</Characters>
  <Lines>23</Lines>
  <Paragraphs>6</Paragraphs>
  <TotalTime>0</TotalTime>
  <ScaleCrop>false</ScaleCrop>
  <LinksUpToDate>false</LinksUpToDate>
  <CharactersWithSpaces>3309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2018-10-29T07:21:00Z</dcterms:created>
  <dc:creator>B10D185</dc:creator>
  <cp:lastModifiedBy>潘雁</cp:lastModifiedBy>
  <cp:lastPrinted>2017-08-20T02:06:00Z</cp:lastPrinted>
  <dcterms:modified xsi:type="dcterms:W3CDTF">2018-11-23T06:31:36Z</dcterms:modified>
  <dc:title>广东省器具耦合器产品质量监督抽查实施细则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