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b/>
          <w:bCs/>
          <w:sz w:val="28"/>
          <w:szCs w:val="28"/>
        </w:rPr>
      </w:pPr>
      <w:r>
        <w:rPr>
          <w:rFonts w:hint="eastAsia" w:ascii="宋体" w:hAnsi="宋体" w:cs="宋体"/>
          <w:b/>
          <w:bCs/>
          <w:sz w:val="28"/>
          <w:szCs w:val="28"/>
        </w:rPr>
        <w:t>广东省热泵热风机产品质量监督抽查实施细则</w:t>
      </w:r>
    </w:p>
    <w:p>
      <w:pPr>
        <w:snapToGrid w:val="0"/>
        <w:spacing w:beforeLines="50" w:line="440" w:lineRule="exact"/>
        <w:rPr>
          <w:rFonts w:ascii="宋体"/>
          <w:b/>
          <w:bCs/>
          <w:color w:val="000000"/>
          <w:kern w:val="0"/>
        </w:rPr>
      </w:pPr>
      <w:r>
        <w:rPr>
          <w:rFonts w:ascii="宋体" w:hAnsi="宋体" w:cs="宋体"/>
          <w:b/>
          <w:bCs/>
          <w:color w:val="000000"/>
        </w:rPr>
        <w:t xml:space="preserve">1 </w:t>
      </w:r>
      <w:r>
        <w:rPr>
          <w:rFonts w:hint="eastAsia" w:ascii="宋体" w:hAnsi="宋体" w:cs="宋体"/>
          <w:b/>
          <w:bCs/>
          <w:color w:val="000000"/>
          <w:kern w:val="0"/>
        </w:rPr>
        <w:t>适用范围</w:t>
      </w:r>
    </w:p>
    <w:p>
      <w:pPr>
        <w:snapToGrid w:val="0"/>
        <w:spacing w:line="460" w:lineRule="exact"/>
        <w:ind w:firstLine="403" w:firstLineChars="192"/>
        <w:rPr>
          <w:rFonts w:ascii="宋体"/>
          <w:color w:val="000000"/>
          <w:kern w:val="0"/>
        </w:rPr>
      </w:pPr>
      <w:r>
        <w:rPr>
          <w:rFonts w:hint="eastAsia" w:ascii="宋体" w:hAnsi="宋体" w:cs="宋体"/>
          <w:color w:val="000000"/>
          <w:kern w:val="0"/>
        </w:rPr>
        <w:t>本细则适用于广东省</w:t>
      </w:r>
      <w:r>
        <w:rPr>
          <w:rFonts w:hint="eastAsia" w:cs="宋体"/>
        </w:rPr>
        <w:t>热泵热风机</w:t>
      </w:r>
      <w:r>
        <w:rPr>
          <w:rFonts w:hint="eastAsia" w:ascii="宋体" w:hAnsi="宋体" w:cs="宋体"/>
          <w:color w:val="000000"/>
          <w:kern w:val="0"/>
        </w:rPr>
        <w:t>产品质量监督抽查</w:t>
      </w:r>
      <w:r>
        <w:rPr>
          <w:rFonts w:hint="eastAsia" w:ascii="宋体" w:hAnsi="宋体" w:cs="宋体"/>
          <w:sz w:val="24"/>
          <w:szCs w:val="24"/>
        </w:rPr>
        <w:t>。</w:t>
      </w:r>
      <w:r>
        <w:rPr>
          <w:rFonts w:hint="eastAsia" w:ascii="宋体" w:hAnsi="宋体" w:cs="宋体"/>
          <w:color w:val="000000"/>
          <w:kern w:val="0"/>
        </w:rPr>
        <w:t>细则内容主要包括产品分类、</w:t>
      </w:r>
      <w:r>
        <w:rPr>
          <w:rFonts w:hint="eastAsia" w:ascii="宋体" w:hAnsi="宋体" w:cs="宋体"/>
          <w:color w:val="000000"/>
        </w:rPr>
        <w:t>术语和定义、</w:t>
      </w:r>
      <w:r>
        <w:rPr>
          <w:rFonts w:hint="eastAsia" w:ascii="宋体" w:hAnsi="宋体" w:cs="宋体"/>
          <w:color w:val="000000"/>
          <w:kern w:val="0"/>
        </w:rPr>
        <w:t>企业产品生产规模划分、检验依据、抽样、检验要求、判定原则、异议处理。</w:t>
      </w:r>
    </w:p>
    <w:p>
      <w:pPr>
        <w:snapToGrid w:val="0"/>
        <w:spacing w:line="460" w:lineRule="exact"/>
        <w:rPr>
          <w:rFonts w:ascii="宋体"/>
          <w:b/>
          <w:bCs/>
          <w:color w:val="000000"/>
          <w:kern w:val="0"/>
        </w:rPr>
      </w:pPr>
      <w:r>
        <w:rPr>
          <w:rFonts w:ascii="宋体" w:hAnsi="宋体" w:cs="宋体"/>
          <w:b/>
          <w:bCs/>
          <w:color w:val="000000"/>
          <w:kern w:val="0"/>
        </w:rPr>
        <w:t xml:space="preserve">2 </w:t>
      </w:r>
      <w:r>
        <w:rPr>
          <w:rFonts w:hint="eastAsia" w:ascii="宋体" w:hAnsi="宋体" w:cs="宋体"/>
          <w:b/>
          <w:bCs/>
          <w:color w:val="000000"/>
          <w:kern w:val="0"/>
        </w:rPr>
        <w:t>产品分类</w:t>
      </w:r>
    </w:p>
    <w:p>
      <w:pPr>
        <w:spacing w:line="460" w:lineRule="exact"/>
        <w:rPr>
          <w:rFonts w:ascii="宋体"/>
          <w:b/>
          <w:bCs/>
          <w:color w:val="000000"/>
          <w:kern w:val="0"/>
        </w:rPr>
      </w:pPr>
      <w:r>
        <w:rPr>
          <w:rFonts w:ascii="宋体" w:hAnsi="宋体" w:cs="宋体"/>
          <w:b/>
          <w:bCs/>
          <w:color w:val="000000"/>
          <w:kern w:val="0"/>
        </w:rPr>
        <w:t xml:space="preserve">2.1 </w:t>
      </w:r>
      <w:r>
        <w:rPr>
          <w:rFonts w:hint="eastAsia" w:ascii="宋体" w:hAnsi="宋体" w:cs="宋体"/>
          <w:b/>
          <w:bCs/>
          <w:color w:val="000000"/>
          <w:kern w:val="0"/>
        </w:rPr>
        <w:t>产品分类及代码</w:t>
      </w:r>
    </w:p>
    <w:p>
      <w:pPr>
        <w:spacing w:line="460" w:lineRule="exact"/>
        <w:ind w:firstLine="420" w:firstLineChars="200"/>
        <w:rPr>
          <w:rFonts w:ascii="宋体"/>
          <w:color w:val="000000"/>
          <w:kern w:val="0"/>
        </w:rPr>
      </w:pPr>
      <w:r>
        <w:rPr>
          <w:rFonts w:hint="eastAsia" w:ascii="宋体" w:hAnsi="宋体" w:cs="宋体"/>
          <w:color w:val="000000"/>
          <w:kern w:val="0"/>
        </w:rPr>
        <w:t>产品分类及代码见表</w:t>
      </w:r>
      <w:r>
        <w:rPr>
          <w:rFonts w:ascii="宋体" w:hAnsi="宋体" w:cs="宋体"/>
          <w:color w:val="000000"/>
          <w:kern w:val="0"/>
        </w:rPr>
        <w:t>1</w:t>
      </w:r>
      <w:r>
        <w:rPr>
          <w:rFonts w:hint="eastAsia" w:ascii="宋体" w:hAnsi="宋体" w:cs="宋体"/>
          <w:color w:val="000000"/>
          <w:kern w:val="0"/>
        </w:rPr>
        <w:t>。</w:t>
      </w:r>
    </w:p>
    <w:p>
      <w:pPr>
        <w:spacing w:line="360" w:lineRule="auto"/>
        <w:jc w:val="center"/>
        <w:rPr>
          <w:rFonts w:ascii="宋体"/>
          <w:b/>
          <w:bCs/>
          <w:color w:val="000000"/>
          <w:kern w:val="0"/>
          <w:sz w:val="18"/>
          <w:szCs w:val="18"/>
        </w:rPr>
      </w:pPr>
      <w:r>
        <w:rPr>
          <w:rFonts w:hint="eastAsia" w:ascii="宋体" w:hAnsi="宋体" w:cs="宋体"/>
          <w:b/>
          <w:bCs/>
          <w:color w:val="000000"/>
          <w:kern w:val="0"/>
          <w:sz w:val="18"/>
          <w:szCs w:val="18"/>
        </w:rPr>
        <w:t>表</w:t>
      </w:r>
      <w:r>
        <w:rPr>
          <w:rFonts w:ascii="宋体" w:hAnsi="宋体" w:cs="宋体"/>
          <w:b/>
          <w:bCs/>
          <w:color w:val="000000"/>
          <w:kern w:val="0"/>
          <w:sz w:val="18"/>
          <w:szCs w:val="18"/>
        </w:rPr>
        <w:t>1</w:t>
      </w:r>
      <w:r>
        <w:rPr>
          <w:rFonts w:hint="eastAsia" w:ascii="宋体" w:hAnsi="宋体" w:cs="宋体"/>
          <w:b/>
          <w:bCs/>
          <w:color w:val="000000"/>
          <w:kern w:val="0"/>
          <w:sz w:val="18"/>
          <w:szCs w:val="18"/>
        </w:rPr>
        <w:t xml:space="preserve">  产品分类及代码</w:t>
      </w:r>
    </w:p>
    <w:tbl>
      <w:tblPr>
        <w:tblStyle w:val="6"/>
        <w:tblW w:w="85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1843"/>
        <w:gridCol w:w="1559"/>
        <w:gridCol w:w="3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jc w:val="center"/>
        </w:trPr>
        <w:tc>
          <w:tcPr>
            <w:tcW w:w="1679" w:type="dxa"/>
            <w:shd w:val="clear" w:color="auto" w:fill="auto"/>
            <w:vAlign w:val="center"/>
          </w:tcPr>
          <w:p>
            <w:pPr>
              <w:widowControl/>
              <w:jc w:val="center"/>
              <w:rPr>
                <w:rFonts w:ascii="宋体" w:hAnsi="宋体"/>
                <w:b/>
                <w:bCs/>
                <w:color w:val="000000"/>
                <w:kern w:val="0"/>
                <w:sz w:val="20"/>
                <w:szCs w:val="18"/>
              </w:rPr>
            </w:pPr>
            <w:r>
              <w:rPr>
                <w:rFonts w:hint="eastAsia" w:ascii="宋体" w:hAnsi="宋体" w:cs="Sim Sun"/>
                <w:kern w:val="0"/>
                <w:sz w:val="20"/>
                <w:szCs w:val="18"/>
              </w:rPr>
              <w:t>产品分类</w:t>
            </w:r>
          </w:p>
        </w:tc>
        <w:tc>
          <w:tcPr>
            <w:tcW w:w="1843" w:type="dxa"/>
            <w:shd w:val="clear" w:color="auto" w:fill="auto"/>
            <w:vAlign w:val="center"/>
          </w:tcPr>
          <w:p>
            <w:pPr>
              <w:widowControl/>
              <w:jc w:val="center"/>
              <w:rPr>
                <w:rFonts w:ascii="宋体" w:hAnsi="宋体"/>
                <w:b/>
                <w:bCs/>
                <w:color w:val="000000"/>
                <w:kern w:val="0"/>
                <w:sz w:val="20"/>
                <w:szCs w:val="18"/>
              </w:rPr>
            </w:pPr>
            <w:r>
              <w:rPr>
                <w:rFonts w:hint="eastAsia" w:ascii="宋体" w:hAnsi="宋体" w:cs="Sim Sun"/>
                <w:kern w:val="0"/>
                <w:sz w:val="20"/>
                <w:szCs w:val="18"/>
              </w:rPr>
              <w:t>一级分类</w:t>
            </w:r>
          </w:p>
        </w:tc>
        <w:tc>
          <w:tcPr>
            <w:tcW w:w="1559" w:type="dxa"/>
            <w:shd w:val="clear" w:color="auto" w:fill="auto"/>
            <w:vAlign w:val="center"/>
          </w:tcPr>
          <w:p>
            <w:pPr>
              <w:widowControl/>
              <w:jc w:val="center"/>
              <w:rPr>
                <w:rFonts w:ascii="宋体" w:hAnsi="宋体"/>
                <w:b/>
                <w:bCs/>
                <w:color w:val="000000"/>
                <w:kern w:val="0"/>
                <w:sz w:val="20"/>
                <w:szCs w:val="18"/>
              </w:rPr>
            </w:pPr>
            <w:r>
              <w:rPr>
                <w:rFonts w:hint="eastAsia" w:ascii="宋体" w:hAnsi="宋体" w:cs="Sim Sun"/>
                <w:kern w:val="0"/>
                <w:sz w:val="20"/>
                <w:szCs w:val="18"/>
              </w:rPr>
              <w:t>二级分类</w:t>
            </w:r>
          </w:p>
        </w:tc>
        <w:tc>
          <w:tcPr>
            <w:tcW w:w="3462" w:type="dxa"/>
            <w:shd w:val="clear" w:color="auto" w:fill="auto"/>
            <w:vAlign w:val="center"/>
          </w:tcPr>
          <w:p>
            <w:pPr>
              <w:widowControl/>
              <w:jc w:val="center"/>
              <w:rPr>
                <w:rFonts w:ascii="宋体" w:hAnsi="宋体"/>
                <w:b/>
                <w:bCs/>
                <w:color w:val="000000"/>
                <w:kern w:val="0"/>
                <w:sz w:val="20"/>
                <w:szCs w:val="18"/>
              </w:rPr>
            </w:pPr>
            <w:r>
              <w:rPr>
                <w:rFonts w:hint="eastAsia" w:ascii="宋体" w:hAnsi="宋体" w:cs="Sim Sun"/>
                <w:kern w:val="0"/>
                <w:sz w:val="20"/>
                <w:szCs w:val="18"/>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jc w:val="center"/>
        </w:trPr>
        <w:tc>
          <w:tcPr>
            <w:tcW w:w="1679" w:type="dxa"/>
            <w:shd w:val="clear" w:color="auto" w:fill="auto"/>
            <w:vAlign w:val="center"/>
          </w:tcPr>
          <w:p>
            <w:pPr>
              <w:widowControl/>
              <w:jc w:val="center"/>
              <w:rPr>
                <w:rFonts w:ascii="宋体" w:hAnsi="宋体"/>
                <w:color w:val="000000"/>
                <w:kern w:val="0"/>
                <w:sz w:val="20"/>
                <w:szCs w:val="18"/>
              </w:rPr>
            </w:pPr>
            <w:r>
              <w:rPr>
                <w:rFonts w:hint="eastAsia" w:ascii="宋体" w:hAnsi="宋体" w:cs="宋体"/>
                <w:kern w:val="0"/>
                <w:sz w:val="20"/>
                <w:szCs w:val="18"/>
              </w:rPr>
              <w:t>分类代码</w:t>
            </w:r>
          </w:p>
        </w:tc>
        <w:tc>
          <w:tcPr>
            <w:tcW w:w="1843" w:type="dxa"/>
            <w:shd w:val="clear" w:color="auto" w:fill="auto"/>
            <w:vAlign w:val="center"/>
          </w:tcPr>
          <w:p>
            <w:pPr>
              <w:snapToGrid w:val="0"/>
              <w:jc w:val="center"/>
              <w:rPr>
                <w:rFonts w:ascii="宋体" w:hAnsi="宋体"/>
                <w:kern w:val="0"/>
                <w:sz w:val="20"/>
                <w:szCs w:val="18"/>
              </w:rPr>
            </w:pPr>
            <w:r>
              <w:rPr>
                <w:rFonts w:ascii="宋体" w:hAnsi="宋体"/>
                <w:kern w:val="0"/>
                <w:sz w:val="20"/>
                <w:szCs w:val="18"/>
              </w:rPr>
              <w:t>2</w:t>
            </w:r>
          </w:p>
        </w:tc>
        <w:tc>
          <w:tcPr>
            <w:tcW w:w="1559" w:type="dxa"/>
            <w:shd w:val="clear" w:color="auto" w:fill="auto"/>
            <w:vAlign w:val="center"/>
          </w:tcPr>
          <w:p>
            <w:pPr>
              <w:snapToGrid w:val="0"/>
              <w:jc w:val="center"/>
              <w:rPr>
                <w:rFonts w:ascii="宋体" w:hAnsi="宋体"/>
                <w:kern w:val="0"/>
                <w:sz w:val="20"/>
                <w:szCs w:val="18"/>
              </w:rPr>
            </w:pPr>
            <w:r>
              <w:rPr>
                <w:rFonts w:ascii="宋体" w:hAnsi="宋体"/>
                <w:kern w:val="0"/>
                <w:sz w:val="20"/>
                <w:szCs w:val="18"/>
              </w:rPr>
              <w:t>201</w:t>
            </w:r>
          </w:p>
        </w:tc>
        <w:tc>
          <w:tcPr>
            <w:tcW w:w="3462" w:type="dxa"/>
            <w:shd w:val="clear" w:color="auto" w:fill="auto"/>
            <w:vAlign w:val="center"/>
          </w:tcPr>
          <w:p>
            <w:pPr>
              <w:snapToGrid w:val="0"/>
              <w:jc w:val="center"/>
              <w:rPr>
                <w:rFonts w:ascii="宋体" w:hAnsi="宋体"/>
                <w:kern w:val="0"/>
                <w:sz w:val="20"/>
                <w:szCs w:val="18"/>
              </w:rPr>
            </w:pPr>
            <w:r>
              <w:rPr>
                <w:rFonts w:ascii="宋体" w:hAnsi="宋体"/>
                <w:kern w:val="0"/>
                <w:sz w:val="20"/>
                <w:szCs w:val="18"/>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jc w:val="center"/>
        </w:trPr>
        <w:tc>
          <w:tcPr>
            <w:tcW w:w="1679" w:type="dxa"/>
            <w:shd w:val="clear" w:color="auto" w:fill="auto"/>
            <w:vAlign w:val="center"/>
          </w:tcPr>
          <w:p>
            <w:pPr>
              <w:pStyle w:val="4"/>
              <w:spacing w:before="0" w:beforeAutospacing="0" w:after="0" w:afterAutospacing="0"/>
              <w:jc w:val="center"/>
              <w:rPr>
                <w:rFonts w:ascii="宋体" w:hAnsi="宋体"/>
                <w:color w:val="000000"/>
                <w:sz w:val="20"/>
                <w:szCs w:val="18"/>
              </w:rPr>
            </w:pPr>
            <w:r>
              <w:rPr>
                <w:rFonts w:hint="eastAsia" w:ascii="宋体" w:hAnsi="宋体" w:cs="Sim Sun"/>
                <w:sz w:val="20"/>
                <w:szCs w:val="18"/>
              </w:rPr>
              <w:t>分类名称</w:t>
            </w:r>
          </w:p>
        </w:tc>
        <w:tc>
          <w:tcPr>
            <w:tcW w:w="1843" w:type="dxa"/>
            <w:shd w:val="clear" w:color="auto" w:fill="auto"/>
            <w:vAlign w:val="center"/>
          </w:tcPr>
          <w:p>
            <w:pPr>
              <w:snapToGrid w:val="0"/>
              <w:jc w:val="center"/>
              <w:rPr>
                <w:rFonts w:ascii="宋体" w:hAnsi="宋体"/>
                <w:kern w:val="0"/>
                <w:sz w:val="20"/>
                <w:szCs w:val="18"/>
              </w:rPr>
            </w:pPr>
            <w:r>
              <w:rPr>
                <w:rFonts w:hint="eastAsia" w:ascii="宋体" w:hAnsi="宋体" w:cs="宋体"/>
                <w:kern w:val="0"/>
                <w:sz w:val="20"/>
                <w:szCs w:val="18"/>
              </w:rPr>
              <w:t>电子电器</w:t>
            </w:r>
          </w:p>
        </w:tc>
        <w:tc>
          <w:tcPr>
            <w:tcW w:w="1559" w:type="dxa"/>
            <w:shd w:val="clear" w:color="auto" w:fill="auto"/>
            <w:vAlign w:val="center"/>
          </w:tcPr>
          <w:p>
            <w:pPr>
              <w:snapToGrid w:val="0"/>
              <w:jc w:val="center"/>
              <w:rPr>
                <w:rFonts w:ascii="宋体" w:hAnsi="宋体"/>
                <w:kern w:val="0"/>
                <w:sz w:val="20"/>
                <w:szCs w:val="18"/>
              </w:rPr>
            </w:pPr>
            <w:r>
              <w:rPr>
                <w:rFonts w:hint="eastAsia" w:ascii="宋体" w:hAnsi="宋体" w:cs="宋体"/>
                <w:kern w:val="0"/>
                <w:sz w:val="20"/>
                <w:szCs w:val="18"/>
              </w:rPr>
              <w:t>家用电器</w:t>
            </w:r>
          </w:p>
        </w:tc>
        <w:tc>
          <w:tcPr>
            <w:tcW w:w="3462" w:type="dxa"/>
            <w:shd w:val="clear" w:color="auto" w:fill="auto"/>
            <w:vAlign w:val="center"/>
          </w:tcPr>
          <w:p>
            <w:pPr>
              <w:snapToGrid w:val="0"/>
              <w:jc w:val="center"/>
              <w:rPr>
                <w:rFonts w:ascii="宋体" w:hAnsi="宋体"/>
                <w:kern w:val="0"/>
                <w:sz w:val="20"/>
                <w:szCs w:val="18"/>
              </w:rPr>
            </w:pPr>
            <w:r>
              <w:rPr>
                <w:rFonts w:hint="eastAsia" w:ascii="宋体" w:hAnsi="宋体" w:cs="宋体"/>
                <w:kern w:val="0"/>
                <w:sz w:val="20"/>
                <w:szCs w:val="18"/>
              </w:rPr>
              <w:t>房间空气调节器（热泵热风机）</w:t>
            </w:r>
          </w:p>
        </w:tc>
      </w:tr>
    </w:tbl>
    <w:p>
      <w:pPr>
        <w:spacing w:beforeLines="50" w:line="360" w:lineRule="auto"/>
        <w:rPr>
          <w:rFonts w:ascii="宋体"/>
          <w:b/>
          <w:bCs/>
          <w:color w:val="000000"/>
          <w:kern w:val="0"/>
        </w:rPr>
      </w:pPr>
      <w:r>
        <w:rPr>
          <w:rFonts w:ascii="宋体" w:hAnsi="宋体" w:cs="宋体"/>
          <w:b/>
          <w:bCs/>
          <w:color w:val="000000"/>
          <w:kern w:val="0"/>
        </w:rPr>
        <w:t xml:space="preserve">2.2 </w:t>
      </w:r>
      <w:r>
        <w:rPr>
          <w:rFonts w:hint="eastAsia" w:ascii="宋体" w:hAnsi="宋体" w:cs="宋体"/>
          <w:b/>
          <w:bCs/>
          <w:color w:val="000000"/>
          <w:kern w:val="0"/>
        </w:rPr>
        <w:t>产品种类</w:t>
      </w:r>
    </w:p>
    <w:p>
      <w:pPr>
        <w:snapToGrid w:val="0"/>
        <w:spacing w:line="360" w:lineRule="auto"/>
        <w:ind w:firstLine="420" w:firstLineChars="200"/>
        <w:rPr>
          <w:rFonts w:ascii="宋体" w:hAnsi="宋体" w:cs="宋体"/>
          <w:color w:val="000000"/>
        </w:rPr>
      </w:pPr>
      <w:r>
        <w:rPr>
          <w:rFonts w:hint="eastAsia" w:ascii="宋体" w:hAnsi="宋体" w:cs="宋体"/>
          <w:color w:val="000000"/>
        </w:rPr>
        <w:t>热泵热风机按功能分为冷暖型和单热型，按结构分为低位挂壁式和落地式，不包含多联式热泵热风机和风管式热泵热风机。</w:t>
      </w:r>
    </w:p>
    <w:p>
      <w:pPr>
        <w:spacing w:line="360" w:lineRule="auto"/>
        <w:rPr>
          <w:rFonts w:ascii="宋体"/>
          <w:b/>
          <w:bCs/>
          <w:color w:val="000000"/>
          <w:kern w:val="0"/>
        </w:rPr>
      </w:pPr>
      <w:r>
        <w:rPr>
          <w:rFonts w:ascii="宋体" w:hAnsi="宋体" w:cs="宋体"/>
          <w:b/>
          <w:bCs/>
          <w:color w:val="000000"/>
          <w:kern w:val="0"/>
        </w:rPr>
        <w:t>3</w:t>
      </w:r>
      <w:r>
        <w:rPr>
          <w:rFonts w:hint="eastAsia" w:ascii="宋体" w:hAnsi="宋体" w:cs="宋体"/>
          <w:b/>
          <w:bCs/>
          <w:color w:val="000000"/>
          <w:kern w:val="0"/>
        </w:rPr>
        <w:t>术语和定义</w:t>
      </w:r>
    </w:p>
    <w:p>
      <w:pPr>
        <w:snapToGrid w:val="0"/>
        <w:spacing w:line="360" w:lineRule="auto"/>
        <w:ind w:firstLine="420" w:firstLineChars="200"/>
        <w:rPr>
          <w:rFonts w:ascii="宋体"/>
          <w:color w:val="000000"/>
        </w:rPr>
      </w:pPr>
      <w:r>
        <w:rPr>
          <w:rFonts w:hint="eastAsia" w:ascii="宋体" w:hAnsi="宋体" w:cs="宋体"/>
          <w:color w:val="000000"/>
        </w:rPr>
        <w:t>本细则中未列出的术语和定义同相关引用标准。</w:t>
      </w:r>
    </w:p>
    <w:p>
      <w:pPr>
        <w:spacing w:line="360" w:lineRule="auto"/>
        <w:rPr>
          <w:rFonts w:ascii="宋体"/>
          <w:b/>
          <w:bCs/>
          <w:color w:val="000000"/>
          <w:kern w:val="0"/>
        </w:rPr>
      </w:pPr>
      <w:r>
        <w:rPr>
          <w:rFonts w:ascii="宋体" w:hAnsi="宋体" w:cs="宋体"/>
          <w:b/>
          <w:bCs/>
          <w:color w:val="000000"/>
          <w:kern w:val="0"/>
        </w:rPr>
        <w:t xml:space="preserve">4 </w:t>
      </w:r>
      <w:r>
        <w:rPr>
          <w:rFonts w:hint="eastAsia" w:ascii="宋体" w:hAnsi="宋体" w:cs="宋体"/>
          <w:b/>
          <w:bCs/>
          <w:color w:val="000000"/>
          <w:kern w:val="0"/>
        </w:rPr>
        <w:t>企业产品生产规模划分</w:t>
      </w:r>
    </w:p>
    <w:p>
      <w:pPr>
        <w:spacing w:line="360" w:lineRule="auto"/>
        <w:ind w:firstLine="420" w:firstLineChars="200"/>
        <w:rPr>
          <w:rFonts w:ascii="宋体"/>
          <w:color w:val="000000"/>
          <w:kern w:val="0"/>
        </w:rPr>
      </w:pPr>
      <w:r>
        <w:rPr>
          <w:rFonts w:hint="eastAsia" w:ascii="宋体" w:hAnsi="宋体" w:cs="宋体"/>
          <w:color w:val="000000"/>
          <w:kern w:val="0"/>
        </w:rPr>
        <w:t>根据</w:t>
      </w:r>
      <w:r>
        <w:rPr>
          <w:rFonts w:hint="eastAsia" w:ascii="宋体" w:hAnsi="宋体" w:cs="宋体"/>
          <w:color w:val="000000"/>
        </w:rPr>
        <w:t>热泵热风机</w:t>
      </w:r>
      <w:r>
        <w:rPr>
          <w:rFonts w:hint="eastAsia" w:ascii="宋体" w:hAnsi="宋体" w:cs="宋体"/>
          <w:color w:val="000000"/>
          <w:kern w:val="0"/>
        </w:rPr>
        <w:t>产品行业的实际情况，生产企业规模以</w:t>
      </w:r>
      <w:r>
        <w:rPr>
          <w:rFonts w:hint="eastAsia" w:ascii="宋体" w:hAnsi="宋体" w:cs="宋体"/>
          <w:color w:val="000000"/>
        </w:rPr>
        <w:t>热泵热风机</w:t>
      </w:r>
      <w:r>
        <w:rPr>
          <w:rFonts w:hint="eastAsia" w:ascii="宋体" w:hAnsi="宋体" w:cs="宋体"/>
          <w:color w:val="000000"/>
          <w:kern w:val="0"/>
        </w:rPr>
        <w:t>产品年销售额为标准划分为大、中、小型企业，见表</w:t>
      </w:r>
      <w:r>
        <w:rPr>
          <w:rFonts w:ascii="宋体" w:hAnsi="宋体" w:cs="宋体"/>
          <w:color w:val="000000"/>
          <w:kern w:val="0"/>
        </w:rPr>
        <w:t>2</w:t>
      </w:r>
      <w:r>
        <w:rPr>
          <w:rFonts w:hint="eastAsia" w:ascii="宋体" w:hAnsi="宋体" w:cs="宋体"/>
          <w:color w:val="000000"/>
          <w:kern w:val="0"/>
        </w:rPr>
        <w:t>。</w:t>
      </w:r>
    </w:p>
    <w:p>
      <w:pPr>
        <w:spacing w:line="440" w:lineRule="exact"/>
        <w:ind w:firstLine="422" w:firstLineChars="200"/>
        <w:jc w:val="center"/>
        <w:rPr>
          <w:rFonts w:ascii="宋体"/>
          <w:b/>
          <w:bCs/>
          <w:color w:val="000000"/>
          <w:kern w:val="0"/>
        </w:rPr>
      </w:pPr>
      <w:r>
        <w:rPr>
          <w:rFonts w:hint="eastAsia" w:ascii="宋体" w:hAnsi="宋体" w:cs="宋体"/>
          <w:b/>
          <w:bCs/>
          <w:color w:val="000000"/>
          <w:kern w:val="0"/>
        </w:rPr>
        <w:t>表</w:t>
      </w:r>
      <w:r>
        <w:rPr>
          <w:rFonts w:ascii="宋体" w:hAnsi="宋体" w:cs="宋体"/>
          <w:b/>
          <w:bCs/>
          <w:color w:val="000000"/>
          <w:kern w:val="0"/>
        </w:rPr>
        <w:t>2</w:t>
      </w:r>
      <w:r>
        <w:rPr>
          <w:rFonts w:hint="eastAsia" w:ascii="宋体" w:hAnsi="宋体" w:cs="宋体"/>
          <w:b/>
          <w:bCs/>
          <w:color w:val="000000"/>
          <w:kern w:val="0"/>
        </w:rPr>
        <w:t xml:space="preserve">  企业产品生产规模划分</w:t>
      </w:r>
    </w:p>
    <w:tbl>
      <w:tblPr>
        <w:tblStyle w:val="6"/>
        <w:tblW w:w="86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5"/>
        <w:gridCol w:w="2156"/>
        <w:gridCol w:w="2156"/>
        <w:gridCol w:w="2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5" w:hRule="atLeast"/>
          <w:jc w:val="center"/>
        </w:trPr>
        <w:tc>
          <w:tcPr>
            <w:tcW w:w="2155" w:type="dxa"/>
            <w:shd w:val="clear" w:color="auto" w:fill="auto"/>
            <w:vAlign w:val="center"/>
          </w:tcPr>
          <w:p>
            <w:pPr>
              <w:snapToGrid w:val="0"/>
              <w:spacing w:line="320" w:lineRule="exact"/>
              <w:jc w:val="center"/>
              <w:rPr>
                <w:rFonts w:ascii="宋体" w:hAnsi="宋体"/>
                <w:bCs/>
                <w:color w:val="000000"/>
                <w:kern w:val="0"/>
                <w:sz w:val="20"/>
                <w:szCs w:val="18"/>
              </w:rPr>
            </w:pPr>
            <w:r>
              <w:rPr>
                <w:rFonts w:hint="eastAsia" w:ascii="宋体" w:hAnsi="宋体" w:cs="宋体"/>
                <w:bCs/>
                <w:color w:val="000000"/>
                <w:kern w:val="0"/>
                <w:sz w:val="20"/>
                <w:szCs w:val="18"/>
              </w:rPr>
              <w:t>企业产品生产规模</w:t>
            </w:r>
          </w:p>
        </w:tc>
        <w:tc>
          <w:tcPr>
            <w:tcW w:w="2156" w:type="dxa"/>
            <w:shd w:val="clear" w:color="auto" w:fill="auto"/>
            <w:vAlign w:val="center"/>
          </w:tcPr>
          <w:p>
            <w:pPr>
              <w:snapToGrid w:val="0"/>
              <w:spacing w:line="320" w:lineRule="exact"/>
              <w:jc w:val="center"/>
              <w:rPr>
                <w:rFonts w:ascii="宋体" w:hAnsi="宋体"/>
                <w:bCs/>
                <w:color w:val="000000"/>
                <w:kern w:val="0"/>
                <w:sz w:val="20"/>
                <w:szCs w:val="18"/>
              </w:rPr>
            </w:pPr>
            <w:r>
              <w:rPr>
                <w:rFonts w:hint="eastAsia" w:ascii="宋体" w:hAnsi="宋体" w:cs="宋体"/>
                <w:bCs/>
                <w:color w:val="000000"/>
                <w:kern w:val="0"/>
                <w:sz w:val="20"/>
                <w:szCs w:val="18"/>
              </w:rPr>
              <w:t>大型企业</w:t>
            </w:r>
          </w:p>
        </w:tc>
        <w:tc>
          <w:tcPr>
            <w:tcW w:w="2156" w:type="dxa"/>
            <w:shd w:val="clear" w:color="auto" w:fill="auto"/>
            <w:vAlign w:val="center"/>
          </w:tcPr>
          <w:p>
            <w:pPr>
              <w:snapToGrid w:val="0"/>
              <w:spacing w:line="320" w:lineRule="exact"/>
              <w:jc w:val="center"/>
              <w:rPr>
                <w:rFonts w:ascii="宋体" w:hAnsi="宋体"/>
                <w:bCs/>
                <w:color w:val="000000"/>
                <w:kern w:val="0"/>
                <w:sz w:val="20"/>
                <w:szCs w:val="18"/>
              </w:rPr>
            </w:pPr>
            <w:r>
              <w:rPr>
                <w:rFonts w:hint="eastAsia" w:ascii="宋体" w:hAnsi="宋体" w:cs="宋体"/>
                <w:bCs/>
                <w:color w:val="000000"/>
                <w:kern w:val="0"/>
                <w:sz w:val="20"/>
                <w:szCs w:val="18"/>
              </w:rPr>
              <w:t>中型企业</w:t>
            </w:r>
          </w:p>
        </w:tc>
        <w:tc>
          <w:tcPr>
            <w:tcW w:w="2156" w:type="dxa"/>
            <w:shd w:val="clear" w:color="auto" w:fill="auto"/>
            <w:vAlign w:val="center"/>
          </w:tcPr>
          <w:p>
            <w:pPr>
              <w:snapToGrid w:val="0"/>
              <w:spacing w:line="320" w:lineRule="exact"/>
              <w:jc w:val="center"/>
              <w:rPr>
                <w:rFonts w:ascii="宋体" w:hAnsi="宋体"/>
                <w:bCs/>
                <w:color w:val="000000"/>
                <w:kern w:val="0"/>
                <w:sz w:val="20"/>
                <w:szCs w:val="18"/>
              </w:rPr>
            </w:pPr>
            <w:r>
              <w:rPr>
                <w:rFonts w:hint="eastAsia" w:ascii="宋体" w:hAnsi="宋体" w:cs="宋体"/>
                <w:bCs/>
                <w:color w:val="000000"/>
                <w:kern w:val="0"/>
                <w:sz w:val="20"/>
                <w:szCs w:val="18"/>
              </w:rPr>
              <w:t>小型企业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29" w:hRule="atLeast"/>
          <w:jc w:val="center"/>
        </w:trPr>
        <w:tc>
          <w:tcPr>
            <w:tcW w:w="2155" w:type="dxa"/>
            <w:shd w:val="clear" w:color="auto" w:fill="auto"/>
            <w:vAlign w:val="center"/>
          </w:tcPr>
          <w:p>
            <w:pPr>
              <w:snapToGrid w:val="0"/>
              <w:spacing w:line="320" w:lineRule="exact"/>
              <w:jc w:val="center"/>
              <w:rPr>
                <w:rFonts w:ascii="宋体" w:hAnsi="宋体"/>
                <w:color w:val="000000"/>
                <w:kern w:val="0"/>
                <w:sz w:val="20"/>
                <w:szCs w:val="20"/>
              </w:rPr>
            </w:pPr>
            <w:r>
              <w:rPr>
                <w:rFonts w:hint="eastAsia" w:ascii="宋体" w:hAnsi="宋体" w:cs="宋体"/>
                <w:color w:val="000000"/>
                <w:kern w:val="0"/>
                <w:sz w:val="20"/>
                <w:szCs w:val="20"/>
              </w:rPr>
              <w:t>年销售额</w:t>
            </w:r>
            <w:r>
              <w:rPr>
                <w:rFonts w:ascii="宋体" w:hAnsi="宋体" w:cs="宋体"/>
                <w:color w:val="000000"/>
                <w:kern w:val="0"/>
                <w:sz w:val="20"/>
                <w:szCs w:val="20"/>
              </w:rPr>
              <w:t>/</w:t>
            </w:r>
            <w:r>
              <w:rPr>
                <w:rFonts w:hint="eastAsia" w:ascii="宋体" w:hAnsi="宋体" w:cs="宋体"/>
                <w:color w:val="000000"/>
                <w:kern w:val="0"/>
                <w:sz w:val="20"/>
                <w:szCs w:val="20"/>
              </w:rPr>
              <w:t>万元</w:t>
            </w:r>
          </w:p>
        </w:tc>
        <w:tc>
          <w:tcPr>
            <w:tcW w:w="2156" w:type="dxa"/>
            <w:shd w:val="clear" w:color="auto" w:fill="auto"/>
          </w:tcPr>
          <w:p>
            <w:pPr>
              <w:snapToGrid w:val="0"/>
              <w:spacing w:line="440" w:lineRule="exact"/>
              <w:jc w:val="center"/>
              <w:rPr>
                <w:rFonts w:ascii="宋体" w:hAnsi="宋体"/>
                <w:sz w:val="20"/>
              </w:rPr>
            </w:pPr>
            <w:r>
              <w:rPr>
                <w:rFonts w:hint="eastAsia" w:ascii="宋体" w:hAnsi="宋体" w:cs="宋体"/>
                <w:sz w:val="20"/>
              </w:rPr>
              <w:t>≥</w:t>
            </w:r>
            <w:r>
              <w:rPr>
                <w:rFonts w:ascii="宋体" w:hAnsi="宋体"/>
                <w:sz w:val="20"/>
              </w:rPr>
              <w:t>10000</w:t>
            </w:r>
          </w:p>
        </w:tc>
        <w:tc>
          <w:tcPr>
            <w:tcW w:w="2156" w:type="dxa"/>
            <w:shd w:val="clear" w:color="auto" w:fill="auto"/>
          </w:tcPr>
          <w:p>
            <w:pPr>
              <w:snapToGrid w:val="0"/>
              <w:spacing w:line="440" w:lineRule="exact"/>
              <w:jc w:val="center"/>
              <w:rPr>
                <w:rFonts w:ascii="宋体" w:hAnsi="宋体"/>
                <w:sz w:val="20"/>
              </w:rPr>
            </w:pPr>
            <w:r>
              <w:rPr>
                <w:rFonts w:hint="eastAsia" w:ascii="宋体" w:hAnsi="宋体" w:cs="宋体"/>
                <w:sz w:val="20"/>
              </w:rPr>
              <w:t>≥</w:t>
            </w:r>
            <w:r>
              <w:rPr>
                <w:rFonts w:ascii="宋体" w:hAnsi="宋体"/>
                <w:sz w:val="20"/>
              </w:rPr>
              <w:t>2000</w:t>
            </w:r>
            <w:r>
              <w:rPr>
                <w:rFonts w:hint="eastAsia" w:ascii="宋体" w:hAnsi="宋体" w:cs="宋体"/>
                <w:sz w:val="20"/>
              </w:rPr>
              <w:t>且＜</w:t>
            </w:r>
            <w:r>
              <w:rPr>
                <w:rFonts w:ascii="宋体" w:hAnsi="宋体"/>
                <w:sz w:val="20"/>
              </w:rPr>
              <w:t xml:space="preserve">10000 </w:t>
            </w:r>
          </w:p>
        </w:tc>
        <w:tc>
          <w:tcPr>
            <w:tcW w:w="2156" w:type="dxa"/>
            <w:shd w:val="clear" w:color="auto" w:fill="auto"/>
          </w:tcPr>
          <w:p>
            <w:pPr>
              <w:snapToGrid w:val="0"/>
              <w:spacing w:line="440" w:lineRule="exact"/>
              <w:jc w:val="center"/>
              <w:rPr>
                <w:rFonts w:ascii="宋体" w:hAnsi="宋体"/>
                <w:sz w:val="20"/>
              </w:rPr>
            </w:pPr>
            <w:r>
              <w:rPr>
                <w:rFonts w:hint="eastAsia" w:ascii="宋体" w:hAnsi="宋体" w:cs="宋体"/>
                <w:sz w:val="20"/>
              </w:rPr>
              <w:t>＜</w:t>
            </w:r>
            <w:r>
              <w:rPr>
                <w:rFonts w:ascii="宋体" w:hAnsi="宋体"/>
                <w:sz w:val="20"/>
              </w:rPr>
              <w:t>2000</w:t>
            </w:r>
          </w:p>
        </w:tc>
      </w:tr>
    </w:tbl>
    <w:p>
      <w:pPr>
        <w:spacing w:line="360" w:lineRule="auto"/>
        <w:ind w:firstLine="360" w:firstLineChars="200"/>
        <w:rPr>
          <w:rFonts w:ascii="宋体"/>
          <w:sz w:val="18"/>
          <w:szCs w:val="18"/>
        </w:rPr>
      </w:pPr>
      <w:r>
        <w:rPr>
          <w:rFonts w:hint="eastAsia" w:ascii="宋体" w:hAnsi="宋体" w:cs="宋体"/>
          <w:sz w:val="18"/>
          <w:szCs w:val="18"/>
        </w:rPr>
        <w:t>注：年销售额包括该类产品的内销和外销总额。</w:t>
      </w:r>
    </w:p>
    <w:p>
      <w:pPr>
        <w:spacing w:line="360" w:lineRule="auto"/>
        <w:rPr>
          <w:rFonts w:ascii="宋体"/>
          <w:b/>
          <w:bCs/>
          <w:color w:val="000000"/>
          <w:kern w:val="0"/>
        </w:rPr>
      </w:pPr>
      <w:r>
        <w:rPr>
          <w:rFonts w:ascii="宋体" w:hAnsi="宋体" w:cs="宋体"/>
          <w:b/>
          <w:bCs/>
          <w:color w:val="000000"/>
          <w:kern w:val="0"/>
        </w:rPr>
        <w:t xml:space="preserve">5 </w:t>
      </w:r>
      <w:r>
        <w:rPr>
          <w:rFonts w:hint="eastAsia" w:ascii="宋体" w:hAnsi="宋体" w:cs="宋体"/>
          <w:b/>
          <w:bCs/>
          <w:color w:val="000000"/>
          <w:kern w:val="0"/>
        </w:rPr>
        <w:t>检验依据</w:t>
      </w:r>
    </w:p>
    <w:p>
      <w:pPr>
        <w:snapToGrid w:val="0"/>
        <w:spacing w:line="360" w:lineRule="auto"/>
        <w:ind w:firstLine="420" w:firstLineChars="200"/>
        <w:rPr>
          <w:rFonts w:ascii="宋体" w:hAnsi="宋体" w:cs="宋体"/>
        </w:rPr>
      </w:pPr>
      <w:r>
        <w:rPr>
          <w:rFonts w:hint="eastAsia" w:ascii="宋体" w:hAnsi="宋体" w:cs="宋体"/>
        </w:rPr>
        <w:t>凡是注日期的引用文件，仅注日期的版本适用于本细则。凡是不注日期的引用文件，其最新版本（包括所有的修改单）适用于本细则。</w:t>
      </w:r>
    </w:p>
    <w:p>
      <w:pPr>
        <w:snapToGrid w:val="0"/>
        <w:spacing w:line="360" w:lineRule="auto"/>
        <w:ind w:firstLine="420" w:firstLineChars="200"/>
        <w:rPr>
          <w:rFonts w:ascii="宋体" w:hAnsi="宋体"/>
          <w:kern w:val="0"/>
        </w:rPr>
      </w:pPr>
      <w:r>
        <w:rPr>
          <w:rFonts w:ascii="宋体" w:hAnsi="宋体"/>
          <w:kern w:val="0"/>
        </w:rPr>
        <w:t>GB 4706.1</w:t>
      </w:r>
      <w:r>
        <w:rPr>
          <w:rFonts w:hint="eastAsia" w:ascii="宋体" w:hAnsi="宋体"/>
        </w:rPr>
        <w:t>—</w:t>
      </w:r>
      <w:r>
        <w:rPr>
          <w:rFonts w:ascii="宋体" w:hAnsi="宋体"/>
          <w:kern w:val="0"/>
        </w:rPr>
        <w:t xml:space="preserve">2005  </w:t>
      </w:r>
      <w:r>
        <w:rPr>
          <w:rFonts w:hint="eastAsia" w:ascii="宋体" w:hAnsi="宋体" w:cs="宋体"/>
          <w:kern w:val="0"/>
        </w:rPr>
        <w:t>家用和类似用途电器的安全</w:t>
      </w:r>
      <w:r>
        <w:rPr>
          <w:rFonts w:ascii="宋体" w:hAnsi="宋体"/>
          <w:kern w:val="0"/>
        </w:rPr>
        <w:t xml:space="preserve">  </w:t>
      </w:r>
      <w:r>
        <w:rPr>
          <w:rFonts w:hint="eastAsia" w:ascii="宋体" w:hAnsi="宋体" w:cs="宋体"/>
          <w:kern w:val="0"/>
        </w:rPr>
        <w:t>第</w:t>
      </w:r>
      <w:r>
        <w:rPr>
          <w:rFonts w:ascii="宋体" w:hAnsi="宋体"/>
          <w:kern w:val="0"/>
        </w:rPr>
        <w:t>1</w:t>
      </w:r>
      <w:r>
        <w:rPr>
          <w:rFonts w:hint="eastAsia" w:ascii="宋体" w:hAnsi="宋体" w:cs="宋体"/>
          <w:kern w:val="0"/>
        </w:rPr>
        <w:t>部分：通用要求</w:t>
      </w:r>
    </w:p>
    <w:p>
      <w:pPr>
        <w:snapToGrid w:val="0"/>
        <w:spacing w:line="360" w:lineRule="auto"/>
        <w:ind w:firstLine="420" w:firstLineChars="200"/>
        <w:rPr>
          <w:rFonts w:ascii="宋体" w:hAnsi="宋体"/>
          <w:kern w:val="0"/>
        </w:rPr>
      </w:pPr>
      <w:r>
        <w:rPr>
          <w:rFonts w:ascii="宋体" w:hAnsi="宋体"/>
          <w:kern w:val="0"/>
        </w:rPr>
        <w:t>GB 4706.32</w:t>
      </w:r>
      <w:r>
        <w:rPr>
          <w:rFonts w:hint="eastAsia" w:ascii="宋体" w:hAnsi="宋体"/>
        </w:rPr>
        <w:t>—</w:t>
      </w:r>
      <w:r>
        <w:rPr>
          <w:rFonts w:ascii="宋体" w:hAnsi="宋体"/>
          <w:kern w:val="0"/>
        </w:rPr>
        <w:t xml:space="preserve">2012  </w:t>
      </w:r>
      <w:r>
        <w:rPr>
          <w:rFonts w:hint="eastAsia" w:ascii="宋体" w:hAnsi="宋体" w:cs="宋体"/>
          <w:kern w:val="0"/>
        </w:rPr>
        <w:t>家用和类似用途电器的安全</w:t>
      </w:r>
      <w:r>
        <w:rPr>
          <w:rFonts w:ascii="宋体" w:hAnsi="宋体"/>
          <w:kern w:val="0"/>
        </w:rPr>
        <w:t xml:space="preserve">  </w:t>
      </w:r>
      <w:r>
        <w:rPr>
          <w:rFonts w:hint="eastAsia" w:ascii="宋体" w:hAnsi="宋体" w:cs="宋体"/>
          <w:kern w:val="0"/>
        </w:rPr>
        <w:t>热泵、空调器和除湿机的特殊要求</w:t>
      </w:r>
    </w:p>
    <w:p>
      <w:pPr>
        <w:snapToGrid w:val="0"/>
        <w:spacing w:line="360" w:lineRule="auto"/>
        <w:ind w:firstLine="420" w:firstLineChars="200"/>
        <w:rPr>
          <w:rFonts w:cs="宋体"/>
          <w:kern w:val="0"/>
        </w:rPr>
      </w:pPr>
      <w:r>
        <w:rPr>
          <w:rFonts w:ascii="宋体" w:hAnsi="宋体"/>
          <w:kern w:val="0"/>
        </w:rPr>
        <w:t>GB 4343.1</w:t>
      </w:r>
      <w:r>
        <w:rPr>
          <w:rFonts w:hint="eastAsia" w:ascii="宋体" w:hAnsi="宋体"/>
        </w:rPr>
        <w:t>—</w:t>
      </w:r>
      <w:r>
        <w:rPr>
          <w:rFonts w:hint="eastAsia" w:ascii="宋体" w:hAnsi="宋体"/>
          <w:kern w:val="0"/>
        </w:rPr>
        <w:t>2009</w:t>
      </w:r>
      <w:r>
        <w:rPr>
          <w:rFonts w:ascii="宋体" w:hAnsi="宋体"/>
          <w:kern w:val="0"/>
        </w:rPr>
        <w:t xml:space="preserve">  </w:t>
      </w:r>
      <w:r>
        <w:rPr>
          <w:rFonts w:hint="eastAsia" w:ascii="宋体" w:hAnsi="宋体" w:cs="宋体"/>
          <w:kern w:val="0"/>
        </w:rPr>
        <w:t>家用电器、电动工具和类似器具的电磁兼容要求</w:t>
      </w:r>
      <w:r>
        <w:rPr>
          <w:rFonts w:ascii="宋体" w:hAnsi="宋体"/>
          <w:kern w:val="0"/>
        </w:rPr>
        <w:t xml:space="preserve"> </w:t>
      </w:r>
      <w:r>
        <w:rPr>
          <w:rFonts w:hint="eastAsia" w:ascii="宋体" w:hAnsi="宋体" w:cs="宋体"/>
          <w:kern w:val="0"/>
        </w:rPr>
        <w:t>第</w:t>
      </w:r>
      <w:r>
        <w:rPr>
          <w:rFonts w:ascii="宋体" w:hAnsi="宋体"/>
          <w:kern w:val="0"/>
        </w:rPr>
        <w:t>1</w:t>
      </w:r>
      <w:r>
        <w:rPr>
          <w:rFonts w:hint="eastAsia" w:ascii="宋体" w:hAnsi="宋体" w:cs="宋体"/>
          <w:kern w:val="0"/>
        </w:rPr>
        <w:t>部分：发射</w:t>
      </w:r>
    </w:p>
    <w:p>
      <w:pPr>
        <w:snapToGrid w:val="0"/>
        <w:spacing w:line="360" w:lineRule="auto"/>
        <w:ind w:firstLine="420" w:firstLineChars="200"/>
        <w:rPr>
          <w:rFonts w:hint="eastAsia" w:ascii="宋体" w:hAnsi="宋体" w:cs="宋体"/>
          <w:color w:val="000000"/>
          <w:kern w:val="0"/>
        </w:rPr>
      </w:pPr>
      <w:r>
        <w:rPr>
          <w:rFonts w:hint="eastAsia" w:ascii="宋体" w:hAnsi="宋体" w:cs="宋体"/>
          <w:color w:val="000000"/>
          <w:kern w:val="0"/>
        </w:rPr>
        <w:t>相关的法律法规、部门规章和规范</w:t>
      </w:r>
    </w:p>
    <w:p>
      <w:pPr>
        <w:snapToGrid w:val="0"/>
        <w:spacing w:line="360" w:lineRule="auto"/>
        <w:ind w:firstLine="420" w:firstLineChars="200"/>
        <w:rPr>
          <w:rFonts w:ascii="宋体" w:hAnsi="宋体" w:cs="宋体"/>
          <w:color w:val="000000"/>
          <w:kern w:val="0"/>
        </w:rPr>
      </w:pPr>
      <w:r>
        <w:rPr>
          <w:rFonts w:hint="eastAsia" w:ascii="宋体" w:hAnsi="宋体" w:cs="宋体"/>
          <w:color w:val="000000"/>
          <w:kern w:val="0"/>
        </w:rPr>
        <w:t>企业明示标准及产品明示质量要求</w:t>
      </w:r>
      <w:r>
        <w:rPr>
          <w:rFonts w:hint="eastAsia" w:ascii="宋体" w:hAnsi="宋体" w:cs="宋体"/>
          <w:color w:val="000000"/>
          <w:kern w:val="0"/>
          <w:lang w:eastAsia="zh-CN"/>
        </w:rPr>
        <w:t>。</w:t>
      </w:r>
    </w:p>
    <w:p>
      <w:pPr>
        <w:snapToGrid w:val="0"/>
        <w:spacing w:line="360" w:lineRule="auto"/>
        <w:rPr>
          <w:rFonts w:ascii="宋体" w:hAnsi="宋体" w:cs="宋体"/>
          <w:color w:val="000000"/>
          <w:kern w:val="0"/>
        </w:rPr>
      </w:pPr>
      <w:r>
        <w:rPr>
          <w:rFonts w:ascii="宋体" w:hAnsi="宋体"/>
          <w:b/>
          <w:bCs/>
        </w:rPr>
        <w:t xml:space="preserve">6 </w:t>
      </w:r>
      <w:r>
        <w:rPr>
          <w:rFonts w:hint="eastAsia" w:ascii="宋体" w:hAnsi="宋体" w:cs="宋体"/>
          <w:b/>
          <w:bCs/>
        </w:rPr>
        <w:t>抽样</w:t>
      </w:r>
    </w:p>
    <w:p>
      <w:pPr>
        <w:snapToGrid w:val="0"/>
        <w:spacing w:line="360" w:lineRule="auto"/>
        <w:rPr>
          <w:rFonts w:ascii="宋体" w:hAnsi="宋体" w:cs="宋体"/>
          <w:b/>
          <w:color w:val="000000"/>
          <w:kern w:val="0"/>
        </w:rPr>
      </w:pPr>
      <w:r>
        <w:rPr>
          <w:rFonts w:hint="eastAsia" w:ascii="宋体" w:hAnsi="宋体" w:cs="宋体"/>
          <w:b/>
          <w:color w:val="000000"/>
          <w:kern w:val="0"/>
        </w:rPr>
        <w:t>6.1 抽样型号或规格</w:t>
      </w:r>
    </w:p>
    <w:p>
      <w:pPr>
        <w:snapToGrid w:val="0"/>
        <w:spacing w:line="360" w:lineRule="auto"/>
        <w:ind w:firstLine="420" w:firstLineChars="200"/>
        <w:rPr>
          <w:rFonts w:ascii="宋体" w:hAnsi="宋体" w:cs="宋体"/>
          <w:color w:val="000000"/>
          <w:kern w:val="0"/>
        </w:rPr>
      </w:pPr>
      <w:r>
        <w:rPr>
          <w:rFonts w:hint="eastAsia" w:ascii="宋体" w:hAnsi="宋体" w:cs="宋体"/>
          <w:color w:val="000000"/>
          <w:kern w:val="0"/>
        </w:rPr>
        <w:t>抽取样品应为同一型号规格、同一批次的产品。优先抽取名义制热量在2</w:t>
      </w:r>
      <w:r>
        <w:rPr>
          <w:rFonts w:ascii="宋体" w:hAnsi="宋体" w:cs="宋体"/>
          <w:color w:val="000000"/>
          <w:kern w:val="0"/>
        </w:rPr>
        <w:t>000W</w:t>
      </w:r>
      <w:r>
        <w:rPr>
          <w:rFonts w:hint="eastAsia" w:ascii="宋体" w:hAnsi="宋体" w:cs="宋体"/>
          <w:color w:val="000000"/>
          <w:kern w:val="0"/>
        </w:rPr>
        <w:t>-8</w:t>
      </w:r>
      <w:r>
        <w:rPr>
          <w:rFonts w:ascii="宋体" w:hAnsi="宋体" w:cs="宋体"/>
          <w:color w:val="000000"/>
          <w:kern w:val="0"/>
        </w:rPr>
        <w:t>00</w:t>
      </w:r>
      <w:r>
        <w:rPr>
          <w:rFonts w:hint="eastAsia" w:ascii="宋体" w:hAnsi="宋体" w:cs="宋体"/>
          <w:color w:val="000000"/>
          <w:kern w:val="0"/>
        </w:rPr>
        <w:t>0</w:t>
      </w:r>
      <w:r>
        <w:rPr>
          <w:rFonts w:ascii="宋体" w:hAnsi="宋体" w:cs="宋体"/>
          <w:color w:val="000000"/>
          <w:kern w:val="0"/>
        </w:rPr>
        <w:t>W</w:t>
      </w:r>
      <w:r>
        <w:rPr>
          <w:rFonts w:hint="eastAsia" w:ascii="宋体" w:hAnsi="宋体" w:cs="宋体"/>
          <w:color w:val="000000"/>
          <w:kern w:val="0"/>
        </w:rPr>
        <w:t>的</w:t>
      </w:r>
      <w:r>
        <w:rPr>
          <w:rFonts w:hint="eastAsia" w:cs="宋体"/>
        </w:rPr>
        <w:t>热泵热风机</w:t>
      </w:r>
      <w:r>
        <w:rPr>
          <w:rFonts w:hint="eastAsia" w:ascii="宋体" w:hAnsi="宋体" w:cs="宋体"/>
          <w:color w:val="000000"/>
          <w:kern w:val="0"/>
        </w:rPr>
        <w:t>产品。</w:t>
      </w:r>
    </w:p>
    <w:p>
      <w:pPr>
        <w:spacing w:line="360" w:lineRule="auto"/>
        <w:rPr>
          <w:rFonts w:ascii="宋体" w:hAnsi="宋体" w:cs="宋体"/>
          <w:b/>
          <w:color w:val="000000"/>
          <w:kern w:val="0"/>
        </w:rPr>
      </w:pPr>
      <w:r>
        <w:rPr>
          <w:rFonts w:hint="eastAsia" w:ascii="宋体" w:hAnsi="宋体" w:cs="宋体"/>
          <w:b/>
          <w:color w:val="000000"/>
          <w:kern w:val="0"/>
        </w:rPr>
        <w:t>6.2 抽样方法及数量</w:t>
      </w:r>
    </w:p>
    <w:p>
      <w:pPr>
        <w:snapToGrid w:val="0"/>
        <w:spacing w:line="360" w:lineRule="auto"/>
        <w:ind w:firstLine="420" w:firstLineChars="200"/>
        <w:rPr>
          <w:rFonts w:cs="宋体"/>
          <w:kern w:val="0"/>
        </w:rPr>
      </w:pPr>
      <w:r>
        <w:rPr>
          <w:rFonts w:hint="eastAsia" w:cs="宋体"/>
          <w:kern w:val="0"/>
        </w:rPr>
        <w:t>在企业的成品库内、成品堆放区随机抽取有产品质量检验合格证明或者以其他形式表明合格的、近期生产的产品（特殊情况除外）。</w:t>
      </w:r>
    </w:p>
    <w:p>
      <w:pPr>
        <w:snapToGrid w:val="0"/>
        <w:spacing w:line="360" w:lineRule="auto"/>
        <w:ind w:firstLine="420" w:firstLineChars="200"/>
        <w:rPr>
          <w:rFonts w:cs="宋体"/>
          <w:kern w:val="0"/>
        </w:rPr>
      </w:pPr>
      <w:r>
        <w:rPr>
          <w:rFonts w:hint="eastAsia" w:cs="宋体"/>
          <w:kern w:val="0"/>
        </w:rPr>
        <w:t>抽样基数满足抽样数量即可。</w:t>
      </w:r>
    </w:p>
    <w:p>
      <w:pPr>
        <w:snapToGrid w:val="0"/>
        <w:spacing w:line="360" w:lineRule="auto"/>
        <w:ind w:firstLine="403" w:firstLineChars="192"/>
        <w:rPr>
          <w:rFonts w:cs="宋体"/>
          <w:kern w:val="0"/>
        </w:rPr>
      </w:pPr>
      <w:r>
        <w:rPr>
          <w:rFonts w:hint="eastAsia" w:cs="宋体"/>
          <w:kern w:val="0"/>
        </w:rPr>
        <w:t>每个企业随机抽取</w:t>
      </w:r>
      <w:r>
        <w:rPr>
          <w:rFonts w:cs="宋体"/>
          <w:kern w:val="0"/>
        </w:rPr>
        <w:t>1</w:t>
      </w:r>
      <w:r>
        <w:rPr>
          <w:rFonts w:hint="eastAsia" w:cs="宋体"/>
          <w:kern w:val="0"/>
        </w:rPr>
        <w:t>种具有代表性的规格型号的产品，共抽取样品</w:t>
      </w:r>
      <w:r>
        <w:rPr>
          <w:rFonts w:cs="宋体"/>
          <w:kern w:val="0"/>
        </w:rPr>
        <w:t>3</w:t>
      </w:r>
      <w:r>
        <w:rPr>
          <w:rFonts w:hint="eastAsia" w:cs="宋体"/>
          <w:kern w:val="0"/>
        </w:rPr>
        <w:t>台（套），其中</w:t>
      </w:r>
      <w:r>
        <w:rPr>
          <w:rFonts w:cs="宋体"/>
          <w:kern w:val="0"/>
        </w:rPr>
        <w:t>2</w:t>
      </w:r>
      <w:r>
        <w:rPr>
          <w:rFonts w:hint="eastAsia" w:cs="宋体"/>
          <w:kern w:val="0"/>
        </w:rPr>
        <w:t>台（套）作为检验样品，</w:t>
      </w:r>
      <w:r>
        <w:rPr>
          <w:rFonts w:cs="宋体"/>
          <w:kern w:val="0"/>
        </w:rPr>
        <w:t>1</w:t>
      </w:r>
      <w:r>
        <w:rPr>
          <w:rFonts w:hint="eastAsia" w:cs="宋体"/>
          <w:kern w:val="0"/>
        </w:rPr>
        <w:t>台（套）作为备用样品，备用样品保存在承检单位。</w:t>
      </w:r>
    </w:p>
    <w:p>
      <w:pPr>
        <w:snapToGrid w:val="0"/>
        <w:spacing w:line="360" w:lineRule="auto"/>
        <w:ind w:firstLine="403" w:firstLineChars="192"/>
        <w:rPr>
          <w:rFonts w:cs="宋体"/>
          <w:kern w:val="0"/>
        </w:rPr>
      </w:pPr>
      <w:r>
        <w:rPr>
          <w:rFonts w:hint="eastAsia" w:cs="宋体"/>
          <w:kern w:val="0"/>
        </w:rPr>
        <w:t>随机数一般可使用随机数表、骰子或扑克牌等方法产生。</w:t>
      </w:r>
    </w:p>
    <w:p>
      <w:pPr>
        <w:spacing w:line="360" w:lineRule="auto"/>
        <w:rPr>
          <w:rFonts w:ascii="宋体" w:hAnsi="宋体" w:cs="宋体"/>
          <w:b/>
          <w:color w:val="000000"/>
          <w:kern w:val="0"/>
        </w:rPr>
      </w:pPr>
      <w:r>
        <w:rPr>
          <w:rFonts w:hint="eastAsia" w:ascii="宋体" w:hAnsi="宋体" w:cs="宋体"/>
          <w:b/>
          <w:color w:val="000000"/>
          <w:kern w:val="0"/>
        </w:rPr>
        <w:t>6.3 样品处置</w:t>
      </w:r>
    </w:p>
    <w:p>
      <w:pPr>
        <w:spacing w:line="360" w:lineRule="auto"/>
        <w:ind w:firstLine="420" w:firstLineChars="200"/>
        <w:rPr>
          <w:rFonts w:ascii="宋体" w:hAnsi="宋体" w:cs="宋体"/>
          <w:color w:val="000000"/>
          <w:kern w:val="0"/>
        </w:rPr>
      </w:pPr>
      <w:r>
        <w:rPr>
          <w:rFonts w:hint="eastAsia" w:cs="宋体"/>
          <w:kern w:val="0"/>
        </w:rPr>
        <w:t>检验用样品及备用</w:t>
      </w:r>
      <w:r>
        <w:rPr>
          <w:rFonts w:hint="eastAsia"/>
          <w:kern w:val="0"/>
        </w:rPr>
        <w:t>（</w:t>
      </w:r>
      <w:r>
        <w:rPr>
          <w:rFonts w:hint="eastAsia" w:cs="宋体"/>
          <w:kern w:val="0"/>
        </w:rPr>
        <w:t>复验</w:t>
      </w:r>
      <w:r>
        <w:rPr>
          <w:rFonts w:hint="eastAsia"/>
          <w:kern w:val="0"/>
        </w:rPr>
        <w:t>）</w:t>
      </w:r>
      <w:r>
        <w:rPr>
          <w:rFonts w:hint="eastAsia" w:cs="宋体"/>
          <w:kern w:val="0"/>
        </w:rPr>
        <w:t>样品应分别封样，并寄送至指定的检验机构相关部门。如</w:t>
      </w:r>
      <w:r>
        <w:rPr>
          <w:rFonts w:hint="eastAsia" w:ascii="宋体" w:hAnsi="宋体" w:cs="宋体"/>
        </w:rPr>
        <w:t>产品包装或说明书等材料</w:t>
      </w:r>
      <w:r>
        <w:rPr>
          <w:rFonts w:hint="eastAsia" w:cs="宋体"/>
          <w:kern w:val="0"/>
        </w:rPr>
        <w:t>上标明特殊储存或搬运要求，样品应按要求进行处置。</w:t>
      </w:r>
    </w:p>
    <w:p>
      <w:pPr>
        <w:spacing w:line="360" w:lineRule="auto"/>
        <w:rPr>
          <w:rFonts w:ascii="宋体" w:hAnsi="宋体" w:cs="宋体"/>
          <w:b/>
          <w:color w:val="000000"/>
          <w:kern w:val="0"/>
        </w:rPr>
      </w:pPr>
      <w:r>
        <w:rPr>
          <w:rFonts w:hint="eastAsia" w:ascii="宋体" w:hAnsi="宋体" w:cs="宋体"/>
          <w:b/>
          <w:color w:val="000000"/>
          <w:kern w:val="0"/>
        </w:rPr>
        <w:t>6.4 抽样单</w:t>
      </w:r>
    </w:p>
    <w:p>
      <w:pPr>
        <w:spacing w:line="360" w:lineRule="auto"/>
        <w:ind w:firstLine="420" w:firstLineChars="200"/>
        <w:rPr>
          <w:rFonts w:ascii="宋体" w:hAnsi="宋体" w:cs="宋体"/>
          <w:color w:val="000000"/>
          <w:kern w:val="0"/>
        </w:rPr>
      </w:pPr>
      <w:r>
        <w:rPr>
          <w:rFonts w:hint="eastAsia" w:ascii="宋体" w:hAnsi="宋体" w:cs="宋体"/>
        </w:rPr>
        <w:t>应按有关规定填写抽样单，并记录被抽查产品及企业相关信息。同时记录被抽查企业上一年度生产的</w:t>
      </w:r>
      <w:r>
        <w:rPr>
          <w:rFonts w:hint="eastAsia" w:cs="宋体"/>
        </w:rPr>
        <w:t>热泵热风机</w:t>
      </w:r>
      <w:r>
        <w:rPr>
          <w:rFonts w:hint="eastAsia" w:ascii="宋体" w:hAnsi="宋体" w:cs="宋体"/>
        </w:rPr>
        <w:t>产品销售总额（以万元计）；若企业上一年度未生产，则记录本年度实际销售额，并加以注明。对于产品检验所需的样品技术参数等信息，需要被抽企业提供的，应在抽样现场获取，并经企业确认。</w:t>
      </w:r>
    </w:p>
    <w:p>
      <w:pPr>
        <w:spacing w:line="360" w:lineRule="auto"/>
        <w:rPr>
          <w:rFonts w:ascii="宋体"/>
          <w:b/>
          <w:bCs/>
          <w:kern w:val="0"/>
        </w:rPr>
      </w:pPr>
      <w:r>
        <w:rPr>
          <w:rFonts w:ascii="宋体" w:hAnsi="宋体" w:cs="宋体"/>
          <w:b/>
          <w:bCs/>
          <w:kern w:val="0"/>
        </w:rPr>
        <w:t xml:space="preserve">7 </w:t>
      </w:r>
      <w:r>
        <w:rPr>
          <w:rFonts w:hint="eastAsia" w:ascii="宋体" w:hAnsi="宋体" w:cs="宋体"/>
          <w:b/>
          <w:bCs/>
          <w:kern w:val="0"/>
        </w:rPr>
        <w:t>检验要求</w:t>
      </w:r>
    </w:p>
    <w:p>
      <w:pPr>
        <w:snapToGrid w:val="0"/>
        <w:spacing w:line="360" w:lineRule="auto"/>
        <w:rPr>
          <w:rFonts w:ascii="宋体"/>
          <w:kern w:val="0"/>
        </w:rPr>
      </w:pPr>
      <w:r>
        <w:rPr>
          <w:rFonts w:ascii="宋体" w:hAnsi="宋体" w:cs="宋体"/>
          <w:b/>
          <w:bCs/>
          <w:kern w:val="0"/>
        </w:rPr>
        <w:t>7.1</w:t>
      </w:r>
      <w:r>
        <w:rPr>
          <w:rFonts w:hint="eastAsia" w:ascii="宋体" w:hAnsi="宋体" w:cs="宋体"/>
          <w:kern w:val="0"/>
        </w:rPr>
        <w:t>检验项目及重要程度分类</w:t>
      </w:r>
    </w:p>
    <w:p>
      <w:pPr>
        <w:snapToGrid w:val="0"/>
        <w:spacing w:line="360" w:lineRule="auto"/>
        <w:ind w:firstLine="420"/>
        <w:rPr>
          <w:rFonts w:ascii="宋体" w:hAnsi="宋体" w:cs="宋体"/>
          <w:kern w:val="0"/>
        </w:rPr>
      </w:pPr>
      <w:r>
        <w:rPr>
          <w:rFonts w:hint="eastAsia" w:cs="宋体"/>
        </w:rPr>
        <w:t>热泵热风机</w:t>
      </w:r>
      <w:r>
        <w:rPr>
          <w:rFonts w:hint="eastAsia" w:ascii="宋体" w:hAnsi="宋体" w:cs="宋体"/>
          <w:kern w:val="0"/>
        </w:rPr>
        <w:t>的检验项目及重要程度分类见表</w:t>
      </w:r>
      <w:r>
        <w:rPr>
          <w:rFonts w:ascii="宋体" w:hAnsi="宋体" w:cs="宋体"/>
          <w:kern w:val="0"/>
        </w:rPr>
        <w:t>3-1</w:t>
      </w:r>
      <w:r>
        <w:rPr>
          <w:rFonts w:hint="eastAsia" w:ascii="宋体" w:hAnsi="宋体" w:cs="宋体"/>
          <w:kern w:val="0"/>
        </w:rPr>
        <w:t>：</w:t>
      </w:r>
    </w:p>
    <w:p>
      <w:pPr>
        <w:snapToGrid w:val="0"/>
        <w:spacing w:beforeLines="50" w:afterLines="50"/>
        <w:jc w:val="center"/>
        <w:rPr>
          <w:b/>
          <w:bCs/>
          <w:kern w:val="0"/>
          <w:sz w:val="21"/>
          <w:szCs w:val="21"/>
        </w:rPr>
      </w:pPr>
      <w:r>
        <w:rPr>
          <w:rFonts w:hint="eastAsia" w:ascii="宋体" w:hAnsi="宋体" w:cs="宋体"/>
          <w:b/>
          <w:kern w:val="0"/>
          <w:sz w:val="21"/>
          <w:szCs w:val="21"/>
        </w:rPr>
        <w:t>表</w:t>
      </w:r>
      <w:r>
        <w:rPr>
          <w:rFonts w:ascii="宋体" w:hAnsi="宋体" w:cs="宋体"/>
          <w:b/>
          <w:kern w:val="0"/>
          <w:sz w:val="21"/>
          <w:szCs w:val="21"/>
        </w:rPr>
        <w:t xml:space="preserve">3-1 </w:t>
      </w:r>
      <w:r>
        <w:rPr>
          <w:rFonts w:hint="eastAsia" w:ascii="宋体" w:hAnsi="宋体" w:cs="宋体"/>
          <w:b/>
          <w:kern w:val="0"/>
          <w:sz w:val="21"/>
          <w:szCs w:val="21"/>
        </w:rPr>
        <w:t xml:space="preserve"> 热泵热风机检验项目及重要程度分类</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2957"/>
        <w:gridCol w:w="1752"/>
        <w:gridCol w:w="1684"/>
        <w:gridCol w:w="796"/>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blHeader/>
        </w:trPr>
        <w:tc>
          <w:tcPr>
            <w:tcW w:w="586" w:type="dxa"/>
            <w:vMerge w:val="restart"/>
            <w:shd w:val="clear" w:color="auto" w:fill="auto"/>
            <w:vAlign w:val="center"/>
          </w:tcPr>
          <w:p>
            <w:pPr>
              <w:snapToGrid w:val="0"/>
              <w:jc w:val="center"/>
              <w:rPr>
                <w:rFonts w:ascii="宋体"/>
                <w:sz w:val="21"/>
                <w:szCs w:val="21"/>
              </w:rPr>
            </w:pPr>
            <w:r>
              <w:rPr>
                <w:rFonts w:hint="eastAsia" w:ascii="宋体" w:hAnsi="宋体" w:cs="宋体"/>
                <w:sz w:val="21"/>
                <w:szCs w:val="21"/>
              </w:rPr>
              <w:t>序号</w:t>
            </w:r>
          </w:p>
        </w:tc>
        <w:tc>
          <w:tcPr>
            <w:tcW w:w="2957" w:type="dxa"/>
            <w:vMerge w:val="restart"/>
            <w:shd w:val="clear" w:color="auto" w:fill="auto"/>
            <w:vAlign w:val="center"/>
          </w:tcPr>
          <w:p>
            <w:pPr>
              <w:snapToGrid w:val="0"/>
              <w:jc w:val="center"/>
              <w:rPr>
                <w:rFonts w:ascii="宋体"/>
                <w:sz w:val="21"/>
                <w:szCs w:val="21"/>
              </w:rPr>
            </w:pPr>
            <w:r>
              <w:rPr>
                <w:rFonts w:hint="eastAsia" w:ascii="宋体" w:hAnsi="宋体" w:cs="宋体"/>
                <w:sz w:val="21"/>
                <w:szCs w:val="21"/>
              </w:rPr>
              <w:t>检验项目</w:t>
            </w:r>
          </w:p>
        </w:tc>
        <w:tc>
          <w:tcPr>
            <w:tcW w:w="1752" w:type="dxa"/>
            <w:vMerge w:val="restart"/>
            <w:shd w:val="clear" w:color="auto" w:fill="auto"/>
            <w:vAlign w:val="center"/>
          </w:tcPr>
          <w:p>
            <w:pPr>
              <w:snapToGrid w:val="0"/>
              <w:jc w:val="center"/>
              <w:rPr>
                <w:rFonts w:ascii="宋体"/>
                <w:sz w:val="21"/>
                <w:szCs w:val="21"/>
              </w:rPr>
            </w:pPr>
            <w:r>
              <w:rPr>
                <w:rFonts w:hint="eastAsia" w:ascii="宋体" w:hAnsi="宋体" w:cs="宋体"/>
                <w:sz w:val="21"/>
                <w:szCs w:val="21"/>
              </w:rPr>
              <w:t>依据标准</w:t>
            </w:r>
          </w:p>
        </w:tc>
        <w:tc>
          <w:tcPr>
            <w:tcW w:w="1684" w:type="dxa"/>
            <w:vMerge w:val="restart"/>
            <w:shd w:val="clear" w:color="auto" w:fill="auto"/>
            <w:vAlign w:val="center"/>
          </w:tcPr>
          <w:p>
            <w:pPr>
              <w:snapToGrid w:val="0"/>
              <w:jc w:val="center"/>
              <w:rPr>
                <w:rFonts w:ascii="宋体"/>
                <w:sz w:val="21"/>
                <w:szCs w:val="21"/>
              </w:rPr>
            </w:pPr>
            <w:r>
              <w:rPr>
                <w:rFonts w:hint="eastAsia" w:ascii="宋体" w:hAnsi="宋体" w:cs="宋体"/>
                <w:sz w:val="21"/>
                <w:szCs w:val="21"/>
              </w:rPr>
              <w:t>检测方法</w:t>
            </w:r>
          </w:p>
        </w:tc>
        <w:tc>
          <w:tcPr>
            <w:tcW w:w="1543" w:type="dxa"/>
            <w:gridSpan w:val="2"/>
            <w:shd w:val="clear" w:color="auto" w:fill="auto"/>
            <w:vAlign w:val="center"/>
          </w:tcPr>
          <w:p>
            <w:pPr>
              <w:jc w:val="center"/>
              <w:rPr>
                <w:rFonts w:ascii="宋体"/>
                <w:sz w:val="21"/>
                <w:szCs w:val="21"/>
              </w:rPr>
            </w:pPr>
            <w:r>
              <w:rPr>
                <w:rFonts w:hint="eastAsia" w:ascii="宋体" w:hAnsi="宋体" w:cs="宋体"/>
                <w:sz w:val="21"/>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blHeader/>
        </w:trPr>
        <w:tc>
          <w:tcPr>
            <w:tcW w:w="586" w:type="dxa"/>
            <w:vMerge w:val="continue"/>
            <w:shd w:val="clear" w:color="auto" w:fill="auto"/>
            <w:vAlign w:val="center"/>
          </w:tcPr>
          <w:p>
            <w:pPr>
              <w:jc w:val="center"/>
              <w:rPr>
                <w:rFonts w:ascii="宋体"/>
                <w:sz w:val="21"/>
                <w:szCs w:val="21"/>
              </w:rPr>
            </w:pPr>
          </w:p>
        </w:tc>
        <w:tc>
          <w:tcPr>
            <w:tcW w:w="2957" w:type="dxa"/>
            <w:vMerge w:val="continue"/>
            <w:shd w:val="clear" w:color="auto" w:fill="auto"/>
            <w:vAlign w:val="center"/>
          </w:tcPr>
          <w:p>
            <w:pPr>
              <w:jc w:val="center"/>
              <w:rPr>
                <w:rFonts w:ascii="宋体"/>
                <w:sz w:val="21"/>
                <w:szCs w:val="21"/>
              </w:rPr>
            </w:pPr>
          </w:p>
        </w:tc>
        <w:tc>
          <w:tcPr>
            <w:tcW w:w="1752" w:type="dxa"/>
            <w:vMerge w:val="continue"/>
            <w:tcBorders>
              <w:bottom w:val="single" w:color="auto" w:sz="4" w:space="0"/>
            </w:tcBorders>
            <w:shd w:val="clear" w:color="auto" w:fill="auto"/>
            <w:vAlign w:val="center"/>
          </w:tcPr>
          <w:p>
            <w:pPr>
              <w:jc w:val="center"/>
              <w:rPr>
                <w:rFonts w:ascii="宋体"/>
                <w:sz w:val="21"/>
                <w:szCs w:val="21"/>
              </w:rPr>
            </w:pPr>
          </w:p>
        </w:tc>
        <w:tc>
          <w:tcPr>
            <w:tcW w:w="1684" w:type="dxa"/>
            <w:vMerge w:val="continue"/>
            <w:tcBorders>
              <w:bottom w:val="single" w:color="auto" w:sz="4" w:space="0"/>
            </w:tcBorders>
            <w:shd w:val="clear" w:color="auto" w:fill="auto"/>
            <w:vAlign w:val="center"/>
          </w:tcPr>
          <w:p>
            <w:pPr>
              <w:jc w:val="center"/>
              <w:rPr>
                <w:rFonts w:ascii="宋体"/>
                <w:sz w:val="21"/>
                <w:szCs w:val="21"/>
              </w:rPr>
            </w:pPr>
          </w:p>
        </w:tc>
        <w:tc>
          <w:tcPr>
            <w:tcW w:w="796" w:type="dxa"/>
            <w:shd w:val="clear" w:color="auto" w:fill="auto"/>
            <w:vAlign w:val="center"/>
          </w:tcPr>
          <w:p>
            <w:pPr>
              <w:jc w:val="center"/>
              <w:rPr>
                <w:rFonts w:ascii="宋体" w:hAnsi="宋体" w:cs="宋体"/>
                <w:sz w:val="21"/>
                <w:szCs w:val="21"/>
                <w:vertAlign w:val="superscript"/>
              </w:rPr>
            </w:pPr>
            <w:r>
              <w:rPr>
                <w:rFonts w:ascii="宋体" w:hAnsi="宋体" w:cs="宋体"/>
                <w:sz w:val="21"/>
                <w:szCs w:val="21"/>
              </w:rPr>
              <w:t>A</w:t>
            </w:r>
            <w:r>
              <w:rPr>
                <w:rFonts w:hint="eastAsia" w:ascii="宋体" w:hAnsi="宋体" w:cs="宋体"/>
                <w:sz w:val="21"/>
                <w:szCs w:val="21"/>
              </w:rPr>
              <w:t>类</w:t>
            </w:r>
            <w:r>
              <w:rPr>
                <w:rFonts w:ascii="宋体" w:hAnsi="宋体" w:cs="宋体"/>
                <w:sz w:val="21"/>
                <w:szCs w:val="21"/>
                <w:vertAlign w:val="superscript"/>
              </w:rPr>
              <w:t>a</w:t>
            </w:r>
          </w:p>
        </w:tc>
        <w:tc>
          <w:tcPr>
            <w:tcW w:w="747" w:type="dxa"/>
            <w:shd w:val="clear" w:color="auto" w:fill="auto"/>
            <w:vAlign w:val="center"/>
          </w:tcPr>
          <w:p>
            <w:pPr>
              <w:jc w:val="center"/>
              <w:rPr>
                <w:rFonts w:ascii="宋体" w:hAnsi="宋体" w:cs="宋体"/>
                <w:sz w:val="21"/>
                <w:szCs w:val="21"/>
                <w:vertAlign w:val="superscript"/>
              </w:rPr>
            </w:pPr>
            <w:r>
              <w:rPr>
                <w:rFonts w:ascii="宋体" w:hAnsi="宋体" w:cs="宋体"/>
                <w:sz w:val="21"/>
                <w:szCs w:val="21"/>
              </w:rPr>
              <w:t>B</w:t>
            </w:r>
            <w:r>
              <w:rPr>
                <w:rFonts w:hint="eastAsia" w:ascii="宋体" w:hAnsi="宋体" w:cs="宋体"/>
                <w:sz w:val="21"/>
                <w:szCs w:val="21"/>
              </w:rPr>
              <w:t>类</w:t>
            </w:r>
            <w:r>
              <w:rPr>
                <w:rFonts w:ascii="宋体" w:hAnsi="宋体" w:cs="宋体"/>
                <w:sz w:val="21"/>
                <w:szCs w:val="21"/>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86" w:type="dxa"/>
            <w:shd w:val="clear" w:color="auto" w:fill="auto"/>
            <w:vAlign w:val="center"/>
          </w:tcPr>
          <w:p>
            <w:pPr>
              <w:numPr>
                <w:ilvl w:val="0"/>
                <w:numId w:val="1"/>
              </w:numPr>
              <w:jc w:val="center"/>
              <w:rPr>
                <w:rFonts w:ascii="宋体"/>
                <w:sz w:val="21"/>
                <w:szCs w:val="21"/>
              </w:rPr>
            </w:pPr>
          </w:p>
        </w:tc>
        <w:tc>
          <w:tcPr>
            <w:tcW w:w="2957" w:type="dxa"/>
            <w:shd w:val="clear" w:color="auto" w:fill="auto"/>
            <w:vAlign w:val="center"/>
          </w:tcPr>
          <w:p>
            <w:pPr>
              <w:jc w:val="center"/>
              <w:rPr>
                <w:rFonts w:ascii="宋体"/>
                <w:sz w:val="21"/>
                <w:szCs w:val="21"/>
              </w:rPr>
            </w:pPr>
            <w:r>
              <w:rPr>
                <w:rFonts w:hint="eastAsia" w:ascii="宋体" w:hAnsi="宋体" w:cs="宋体"/>
                <w:sz w:val="21"/>
                <w:szCs w:val="21"/>
              </w:rPr>
              <w:t>对触及带电部件的防护</w:t>
            </w:r>
          </w:p>
        </w:tc>
        <w:tc>
          <w:tcPr>
            <w:tcW w:w="1752" w:type="dxa"/>
            <w:vMerge w:val="restart"/>
            <w:tcBorders>
              <w:bottom w:val="nil"/>
            </w:tcBorders>
            <w:shd w:val="clear" w:color="auto" w:fill="auto"/>
            <w:vAlign w:val="center"/>
          </w:tcPr>
          <w:p>
            <w:pPr>
              <w:jc w:val="center"/>
              <w:rPr>
                <w:rFonts w:ascii="宋体" w:hAnsi="宋体" w:cs="宋体"/>
                <w:sz w:val="21"/>
                <w:szCs w:val="21"/>
              </w:rPr>
            </w:pPr>
            <w:r>
              <w:rPr>
                <w:rFonts w:ascii="宋体" w:hAnsi="宋体" w:cs="宋体"/>
                <w:sz w:val="21"/>
                <w:szCs w:val="21"/>
              </w:rPr>
              <w:t>GB  4706.1-2005</w:t>
            </w:r>
          </w:p>
          <w:p>
            <w:pPr>
              <w:jc w:val="center"/>
              <w:rPr>
                <w:rFonts w:ascii="宋体" w:hAnsi="宋体" w:cs="宋体"/>
                <w:sz w:val="21"/>
                <w:szCs w:val="21"/>
              </w:rPr>
            </w:pPr>
            <w:r>
              <w:rPr>
                <w:rFonts w:ascii="宋体" w:hAnsi="宋体" w:cs="宋体"/>
                <w:sz w:val="21"/>
                <w:szCs w:val="21"/>
              </w:rPr>
              <w:t>GB 4706.32-2012</w:t>
            </w:r>
          </w:p>
        </w:tc>
        <w:tc>
          <w:tcPr>
            <w:tcW w:w="1684" w:type="dxa"/>
            <w:vMerge w:val="restart"/>
            <w:tcBorders>
              <w:bottom w:val="nil"/>
            </w:tcBorders>
            <w:shd w:val="clear" w:color="auto" w:fill="auto"/>
            <w:vAlign w:val="center"/>
          </w:tcPr>
          <w:p>
            <w:pPr>
              <w:jc w:val="center"/>
              <w:rPr>
                <w:rFonts w:ascii="宋体" w:hAnsi="宋体" w:cs="宋体"/>
                <w:sz w:val="21"/>
                <w:szCs w:val="21"/>
              </w:rPr>
            </w:pPr>
            <w:r>
              <w:rPr>
                <w:rFonts w:ascii="宋体" w:hAnsi="宋体" w:cs="宋体"/>
                <w:sz w:val="21"/>
                <w:szCs w:val="21"/>
              </w:rPr>
              <w:t>GB 4706.1-2005</w:t>
            </w:r>
          </w:p>
          <w:p>
            <w:pPr>
              <w:jc w:val="center"/>
              <w:rPr>
                <w:rFonts w:ascii="宋体" w:hAnsi="宋体" w:cs="宋体"/>
                <w:sz w:val="21"/>
                <w:szCs w:val="21"/>
              </w:rPr>
            </w:pPr>
            <w:r>
              <w:rPr>
                <w:rFonts w:ascii="宋体" w:hAnsi="宋体" w:cs="宋体"/>
                <w:sz w:val="21"/>
                <w:szCs w:val="21"/>
              </w:rPr>
              <w:t>GB 4706.32-2012</w:t>
            </w:r>
          </w:p>
        </w:tc>
        <w:tc>
          <w:tcPr>
            <w:tcW w:w="796" w:type="dxa"/>
            <w:shd w:val="clear" w:color="auto" w:fill="auto"/>
            <w:vAlign w:val="center"/>
          </w:tcPr>
          <w:p>
            <w:pPr>
              <w:jc w:val="center"/>
              <w:rPr>
                <w:rFonts w:ascii="宋体"/>
                <w:sz w:val="21"/>
                <w:szCs w:val="21"/>
              </w:rPr>
            </w:pPr>
            <w:r>
              <w:rPr>
                <w:rFonts w:hint="eastAsia" w:ascii="宋体" w:hAnsi="宋体" w:cs="宋体"/>
                <w:sz w:val="21"/>
                <w:szCs w:val="21"/>
              </w:rPr>
              <w:t>●</w:t>
            </w:r>
          </w:p>
        </w:tc>
        <w:tc>
          <w:tcPr>
            <w:tcW w:w="747" w:type="dxa"/>
            <w:shd w:val="clear" w:color="auto" w:fill="auto"/>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86" w:type="dxa"/>
            <w:shd w:val="clear" w:color="auto" w:fill="auto"/>
            <w:vAlign w:val="center"/>
          </w:tcPr>
          <w:p>
            <w:pPr>
              <w:numPr>
                <w:ilvl w:val="0"/>
                <w:numId w:val="1"/>
              </w:numPr>
              <w:jc w:val="center"/>
              <w:rPr>
                <w:rFonts w:ascii="宋体"/>
                <w:sz w:val="21"/>
                <w:szCs w:val="21"/>
              </w:rPr>
            </w:pPr>
          </w:p>
        </w:tc>
        <w:tc>
          <w:tcPr>
            <w:tcW w:w="2957" w:type="dxa"/>
            <w:shd w:val="clear" w:color="auto" w:fill="auto"/>
            <w:vAlign w:val="center"/>
          </w:tcPr>
          <w:p>
            <w:pPr>
              <w:jc w:val="center"/>
              <w:rPr>
                <w:rFonts w:ascii="宋体"/>
                <w:sz w:val="21"/>
                <w:szCs w:val="21"/>
              </w:rPr>
            </w:pPr>
            <w:r>
              <w:rPr>
                <w:rFonts w:hint="eastAsia" w:ascii="宋体" w:hAnsi="宋体" w:cs="宋体"/>
                <w:sz w:val="21"/>
                <w:szCs w:val="21"/>
              </w:rPr>
              <w:t>输入功率和电流</w:t>
            </w:r>
          </w:p>
        </w:tc>
        <w:tc>
          <w:tcPr>
            <w:tcW w:w="1752" w:type="dxa"/>
            <w:vMerge w:val="continue"/>
            <w:tcBorders>
              <w:bottom w:val="nil"/>
            </w:tcBorders>
            <w:shd w:val="clear" w:color="auto" w:fill="auto"/>
            <w:vAlign w:val="center"/>
          </w:tcPr>
          <w:p>
            <w:pPr>
              <w:jc w:val="center"/>
              <w:rPr>
                <w:rFonts w:ascii="宋体"/>
                <w:sz w:val="21"/>
                <w:szCs w:val="21"/>
              </w:rPr>
            </w:pPr>
          </w:p>
        </w:tc>
        <w:tc>
          <w:tcPr>
            <w:tcW w:w="1684" w:type="dxa"/>
            <w:vMerge w:val="continue"/>
            <w:tcBorders>
              <w:bottom w:val="nil"/>
            </w:tcBorders>
            <w:shd w:val="clear" w:color="auto" w:fill="auto"/>
            <w:vAlign w:val="center"/>
          </w:tcPr>
          <w:p>
            <w:pPr>
              <w:jc w:val="center"/>
              <w:rPr>
                <w:rFonts w:ascii="宋体"/>
                <w:sz w:val="21"/>
                <w:szCs w:val="21"/>
              </w:rPr>
            </w:pPr>
          </w:p>
        </w:tc>
        <w:tc>
          <w:tcPr>
            <w:tcW w:w="796" w:type="dxa"/>
            <w:shd w:val="clear" w:color="auto" w:fill="auto"/>
            <w:vAlign w:val="center"/>
          </w:tcPr>
          <w:p>
            <w:pPr>
              <w:jc w:val="center"/>
              <w:rPr>
                <w:rFonts w:ascii="宋体"/>
                <w:sz w:val="21"/>
                <w:szCs w:val="21"/>
              </w:rPr>
            </w:pPr>
            <w:r>
              <w:rPr>
                <w:rFonts w:hint="eastAsia" w:ascii="宋体" w:hAnsi="宋体" w:cs="宋体"/>
                <w:sz w:val="21"/>
                <w:szCs w:val="21"/>
              </w:rPr>
              <w:t>●</w:t>
            </w:r>
          </w:p>
        </w:tc>
        <w:tc>
          <w:tcPr>
            <w:tcW w:w="747" w:type="dxa"/>
            <w:shd w:val="clear" w:color="auto" w:fill="auto"/>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86" w:type="dxa"/>
            <w:shd w:val="clear" w:color="auto" w:fill="auto"/>
            <w:vAlign w:val="center"/>
          </w:tcPr>
          <w:p>
            <w:pPr>
              <w:numPr>
                <w:ilvl w:val="0"/>
                <w:numId w:val="1"/>
              </w:numPr>
              <w:jc w:val="center"/>
              <w:rPr>
                <w:rFonts w:ascii="宋体"/>
                <w:sz w:val="21"/>
                <w:szCs w:val="21"/>
              </w:rPr>
            </w:pPr>
          </w:p>
        </w:tc>
        <w:tc>
          <w:tcPr>
            <w:tcW w:w="2957" w:type="dxa"/>
            <w:shd w:val="clear" w:color="auto" w:fill="auto"/>
            <w:vAlign w:val="center"/>
          </w:tcPr>
          <w:p>
            <w:pPr>
              <w:jc w:val="center"/>
              <w:rPr>
                <w:rFonts w:ascii="宋体"/>
                <w:sz w:val="21"/>
                <w:szCs w:val="21"/>
              </w:rPr>
            </w:pPr>
            <w:r>
              <w:rPr>
                <w:rFonts w:hint="eastAsia" w:ascii="宋体" w:hAnsi="宋体" w:cs="宋体"/>
                <w:sz w:val="21"/>
                <w:szCs w:val="21"/>
              </w:rPr>
              <w:t>工作温度下的泄漏电流和电气强度</w:t>
            </w:r>
          </w:p>
        </w:tc>
        <w:tc>
          <w:tcPr>
            <w:tcW w:w="1752" w:type="dxa"/>
            <w:vMerge w:val="continue"/>
            <w:tcBorders>
              <w:bottom w:val="nil"/>
            </w:tcBorders>
            <w:shd w:val="clear" w:color="auto" w:fill="auto"/>
            <w:vAlign w:val="center"/>
          </w:tcPr>
          <w:p>
            <w:pPr>
              <w:jc w:val="center"/>
              <w:rPr>
                <w:rFonts w:ascii="宋体"/>
                <w:sz w:val="21"/>
                <w:szCs w:val="21"/>
              </w:rPr>
            </w:pPr>
          </w:p>
        </w:tc>
        <w:tc>
          <w:tcPr>
            <w:tcW w:w="1684" w:type="dxa"/>
            <w:vMerge w:val="continue"/>
            <w:tcBorders>
              <w:bottom w:val="nil"/>
            </w:tcBorders>
            <w:shd w:val="clear" w:color="auto" w:fill="auto"/>
            <w:vAlign w:val="center"/>
          </w:tcPr>
          <w:p>
            <w:pPr>
              <w:jc w:val="center"/>
              <w:rPr>
                <w:rFonts w:ascii="宋体"/>
                <w:sz w:val="21"/>
                <w:szCs w:val="21"/>
              </w:rPr>
            </w:pPr>
          </w:p>
        </w:tc>
        <w:tc>
          <w:tcPr>
            <w:tcW w:w="796" w:type="dxa"/>
            <w:shd w:val="clear" w:color="auto" w:fill="auto"/>
            <w:vAlign w:val="center"/>
          </w:tcPr>
          <w:p>
            <w:pPr>
              <w:jc w:val="center"/>
              <w:rPr>
                <w:rFonts w:ascii="宋体"/>
                <w:sz w:val="21"/>
                <w:szCs w:val="21"/>
              </w:rPr>
            </w:pPr>
            <w:r>
              <w:rPr>
                <w:rFonts w:hint="eastAsia" w:ascii="宋体" w:hAnsi="宋体" w:cs="宋体"/>
                <w:sz w:val="21"/>
                <w:szCs w:val="21"/>
              </w:rPr>
              <w:t>●</w:t>
            </w:r>
          </w:p>
        </w:tc>
        <w:tc>
          <w:tcPr>
            <w:tcW w:w="747" w:type="dxa"/>
            <w:shd w:val="clear" w:color="auto" w:fill="auto"/>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86" w:type="dxa"/>
            <w:shd w:val="clear" w:color="auto" w:fill="auto"/>
            <w:vAlign w:val="center"/>
          </w:tcPr>
          <w:p>
            <w:pPr>
              <w:numPr>
                <w:ilvl w:val="0"/>
                <w:numId w:val="1"/>
              </w:numPr>
              <w:jc w:val="center"/>
              <w:rPr>
                <w:rFonts w:ascii="宋体"/>
                <w:sz w:val="21"/>
                <w:szCs w:val="21"/>
              </w:rPr>
            </w:pPr>
          </w:p>
        </w:tc>
        <w:tc>
          <w:tcPr>
            <w:tcW w:w="2957" w:type="dxa"/>
            <w:shd w:val="clear" w:color="auto" w:fill="auto"/>
            <w:vAlign w:val="center"/>
          </w:tcPr>
          <w:p>
            <w:pPr>
              <w:jc w:val="center"/>
              <w:rPr>
                <w:rFonts w:ascii="宋体"/>
                <w:sz w:val="21"/>
                <w:szCs w:val="21"/>
              </w:rPr>
            </w:pPr>
            <w:r>
              <w:rPr>
                <w:rFonts w:hint="eastAsia" w:ascii="宋体" w:hAnsi="宋体" w:cs="宋体"/>
                <w:sz w:val="21"/>
                <w:szCs w:val="21"/>
              </w:rPr>
              <w:t>耐潮湿</w:t>
            </w:r>
          </w:p>
        </w:tc>
        <w:tc>
          <w:tcPr>
            <w:tcW w:w="1752" w:type="dxa"/>
            <w:vMerge w:val="continue"/>
            <w:tcBorders>
              <w:bottom w:val="nil"/>
            </w:tcBorders>
            <w:shd w:val="clear" w:color="auto" w:fill="auto"/>
            <w:vAlign w:val="center"/>
          </w:tcPr>
          <w:p>
            <w:pPr>
              <w:jc w:val="center"/>
              <w:rPr>
                <w:rFonts w:ascii="宋体"/>
                <w:sz w:val="21"/>
                <w:szCs w:val="21"/>
              </w:rPr>
            </w:pPr>
          </w:p>
        </w:tc>
        <w:tc>
          <w:tcPr>
            <w:tcW w:w="1684" w:type="dxa"/>
            <w:vMerge w:val="continue"/>
            <w:tcBorders>
              <w:bottom w:val="nil"/>
            </w:tcBorders>
            <w:shd w:val="clear" w:color="auto" w:fill="auto"/>
            <w:vAlign w:val="center"/>
          </w:tcPr>
          <w:p>
            <w:pPr>
              <w:jc w:val="center"/>
              <w:rPr>
                <w:rFonts w:ascii="宋体"/>
                <w:sz w:val="21"/>
                <w:szCs w:val="21"/>
              </w:rPr>
            </w:pPr>
          </w:p>
        </w:tc>
        <w:tc>
          <w:tcPr>
            <w:tcW w:w="796" w:type="dxa"/>
            <w:shd w:val="clear" w:color="auto" w:fill="auto"/>
            <w:vAlign w:val="center"/>
          </w:tcPr>
          <w:p>
            <w:pPr>
              <w:jc w:val="center"/>
              <w:rPr>
                <w:rFonts w:ascii="宋体"/>
                <w:sz w:val="21"/>
                <w:szCs w:val="21"/>
              </w:rPr>
            </w:pPr>
            <w:r>
              <w:rPr>
                <w:rFonts w:hint="eastAsia" w:ascii="宋体" w:hAnsi="宋体" w:cs="宋体"/>
                <w:sz w:val="21"/>
                <w:szCs w:val="21"/>
              </w:rPr>
              <w:t>●</w:t>
            </w:r>
          </w:p>
        </w:tc>
        <w:tc>
          <w:tcPr>
            <w:tcW w:w="747" w:type="dxa"/>
            <w:shd w:val="clear" w:color="auto" w:fill="auto"/>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86" w:type="dxa"/>
            <w:shd w:val="clear" w:color="auto" w:fill="auto"/>
            <w:vAlign w:val="center"/>
          </w:tcPr>
          <w:p>
            <w:pPr>
              <w:numPr>
                <w:ilvl w:val="0"/>
                <w:numId w:val="1"/>
              </w:numPr>
              <w:jc w:val="center"/>
              <w:rPr>
                <w:rFonts w:ascii="宋体"/>
                <w:sz w:val="21"/>
                <w:szCs w:val="21"/>
              </w:rPr>
            </w:pPr>
          </w:p>
        </w:tc>
        <w:tc>
          <w:tcPr>
            <w:tcW w:w="2957" w:type="dxa"/>
            <w:shd w:val="clear" w:color="auto" w:fill="auto"/>
            <w:vAlign w:val="center"/>
          </w:tcPr>
          <w:p>
            <w:pPr>
              <w:jc w:val="center"/>
              <w:rPr>
                <w:rFonts w:ascii="宋体"/>
                <w:sz w:val="21"/>
                <w:szCs w:val="21"/>
              </w:rPr>
            </w:pPr>
            <w:r>
              <w:rPr>
                <w:rFonts w:hint="eastAsia" w:ascii="宋体" w:hAnsi="宋体" w:cs="宋体"/>
                <w:sz w:val="21"/>
                <w:szCs w:val="21"/>
              </w:rPr>
              <w:t>泄漏电流和电气强度</w:t>
            </w:r>
          </w:p>
        </w:tc>
        <w:tc>
          <w:tcPr>
            <w:tcW w:w="1752" w:type="dxa"/>
            <w:vMerge w:val="continue"/>
            <w:tcBorders>
              <w:bottom w:val="nil"/>
            </w:tcBorders>
            <w:shd w:val="clear" w:color="auto" w:fill="auto"/>
            <w:vAlign w:val="center"/>
          </w:tcPr>
          <w:p>
            <w:pPr>
              <w:jc w:val="center"/>
              <w:rPr>
                <w:rFonts w:ascii="宋体"/>
                <w:sz w:val="21"/>
                <w:szCs w:val="21"/>
              </w:rPr>
            </w:pPr>
          </w:p>
        </w:tc>
        <w:tc>
          <w:tcPr>
            <w:tcW w:w="1684" w:type="dxa"/>
            <w:vMerge w:val="continue"/>
            <w:tcBorders>
              <w:bottom w:val="nil"/>
            </w:tcBorders>
            <w:shd w:val="clear" w:color="auto" w:fill="auto"/>
            <w:vAlign w:val="center"/>
          </w:tcPr>
          <w:p>
            <w:pPr>
              <w:jc w:val="center"/>
              <w:rPr>
                <w:rFonts w:ascii="宋体"/>
                <w:sz w:val="21"/>
                <w:szCs w:val="21"/>
              </w:rPr>
            </w:pPr>
          </w:p>
        </w:tc>
        <w:tc>
          <w:tcPr>
            <w:tcW w:w="796" w:type="dxa"/>
            <w:shd w:val="clear" w:color="auto" w:fill="auto"/>
            <w:vAlign w:val="center"/>
          </w:tcPr>
          <w:p>
            <w:pPr>
              <w:jc w:val="center"/>
              <w:rPr>
                <w:rFonts w:ascii="宋体"/>
                <w:sz w:val="21"/>
                <w:szCs w:val="21"/>
              </w:rPr>
            </w:pPr>
            <w:r>
              <w:rPr>
                <w:rFonts w:hint="eastAsia" w:ascii="宋体" w:hAnsi="宋体" w:cs="宋体"/>
                <w:sz w:val="21"/>
                <w:szCs w:val="21"/>
              </w:rPr>
              <w:t>●</w:t>
            </w:r>
          </w:p>
        </w:tc>
        <w:tc>
          <w:tcPr>
            <w:tcW w:w="747" w:type="dxa"/>
            <w:shd w:val="clear" w:color="auto" w:fill="auto"/>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86" w:type="dxa"/>
            <w:shd w:val="clear" w:color="auto" w:fill="auto"/>
            <w:vAlign w:val="center"/>
          </w:tcPr>
          <w:p>
            <w:pPr>
              <w:numPr>
                <w:ilvl w:val="0"/>
                <w:numId w:val="1"/>
              </w:numPr>
              <w:jc w:val="center"/>
              <w:rPr>
                <w:rFonts w:ascii="宋体"/>
                <w:sz w:val="21"/>
                <w:szCs w:val="21"/>
              </w:rPr>
            </w:pPr>
          </w:p>
        </w:tc>
        <w:tc>
          <w:tcPr>
            <w:tcW w:w="2957" w:type="dxa"/>
            <w:shd w:val="clear" w:color="auto" w:fill="auto"/>
            <w:vAlign w:val="center"/>
          </w:tcPr>
          <w:p>
            <w:pPr>
              <w:jc w:val="center"/>
              <w:rPr>
                <w:rFonts w:ascii="宋体" w:hAnsi="宋体" w:cs="宋体"/>
                <w:sz w:val="21"/>
                <w:szCs w:val="21"/>
              </w:rPr>
            </w:pPr>
            <w:r>
              <w:rPr>
                <w:rFonts w:hint="eastAsia" w:ascii="宋体" w:hAnsi="宋体" w:cs="宋体"/>
                <w:sz w:val="21"/>
                <w:szCs w:val="21"/>
              </w:rPr>
              <w:t>机械强度</w:t>
            </w:r>
          </w:p>
        </w:tc>
        <w:tc>
          <w:tcPr>
            <w:tcW w:w="1752" w:type="dxa"/>
            <w:vMerge w:val="continue"/>
            <w:tcBorders>
              <w:bottom w:val="nil"/>
            </w:tcBorders>
            <w:shd w:val="clear" w:color="auto" w:fill="auto"/>
            <w:vAlign w:val="center"/>
          </w:tcPr>
          <w:p>
            <w:pPr>
              <w:jc w:val="center"/>
              <w:rPr>
                <w:rFonts w:ascii="宋体"/>
                <w:color w:val="FF00FF"/>
                <w:sz w:val="21"/>
                <w:szCs w:val="21"/>
              </w:rPr>
            </w:pPr>
          </w:p>
        </w:tc>
        <w:tc>
          <w:tcPr>
            <w:tcW w:w="1684" w:type="dxa"/>
            <w:vMerge w:val="continue"/>
            <w:tcBorders>
              <w:bottom w:val="nil"/>
            </w:tcBorders>
            <w:shd w:val="clear" w:color="auto" w:fill="auto"/>
            <w:vAlign w:val="center"/>
          </w:tcPr>
          <w:p>
            <w:pPr>
              <w:jc w:val="center"/>
              <w:rPr>
                <w:rFonts w:ascii="宋体"/>
                <w:color w:val="FF00FF"/>
                <w:sz w:val="21"/>
                <w:szCs w:val="21"/>
              </w:rPr>
            </w:pPr>
          </w:p>
        </w:tc>
        <w:tc>
          <w:tcPr>
            <w:tcW w:w="796" w:type="dxa"/>
            <w:shd w:val="clear" w:color="auto" w:fill="auto"/>
            <w:vAlign w:val="center"/>
          </w:tcPr>
          <w:p>
            <w:pPr>
              <w:jc w:val="center"/>
              <w:rPr>
                <w:rFonts w:ascii="宋体" w:hAnsi="宋体" w:cs="宋体"/>
                <w:color w:val="FF00FF"/>
                <w:sz w:val="21"/>
                <w:szCs w:val="21"/>
              </w:rPr>
            </w:pPr>
            <w:r>
              <w:rPr>
                <w:rFonts w:hint="eastAsia" w:ascii="宋体" w:hAnsi="宋体" w:cs="宋体"/>
                <w:sz w:val="21"/>
                <w:szCs w:val="21"/>
              </w:rPr>
              <w:t>●</w:t>
            </w:r>
          </w:p>
        </w:tc>
        <w:tc>
          <w:tcPr>
            <w:tcW w:w="747" w:type="dxa"/>
            <w:shd w:val="clear" w:color="auto" w:fill="auto"/>
            <w:vAlign w:val="center"/>
          </w:tcPr>
          <w:p>
            <w:pPr>
              <w:jc w:val="center"/>
              <w:rPr>
                <w:rFonts w:ascii="宋体"/>
                <w:color w:val="FF00F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86" w:type="dxa"/>
            <w:shd w:val="clear" w:color="auto" w:fill="auto"/>
            <w:vAlign w:val="center"/>
          </w:tcPr>
          <w:p>
            <w:pPr>
              <w:numPr>
                <w:ilvl w:val="0"/>
                <w:numId w:val="1"/>
              </w:numPr>
              <w:jc w:val="center"/>
              <w:rPr>
                <w:rFonts w:ascii="宋体"/>
                <w:sz w:val="21"/>
                <w:szCs w:val="21"/>
              </w:rPr>
            </w:pPr>
          </w:p>
        </w:tc>
        <w:tc>
          <w:tcPr>
            <w:tcW w:w="2957" w:type="dxa"/>
            <w:shd w:val="clear" w:color="auto" w:fill="auto"/>
            <w:vAlign w:val="center"/>
          </w:tcPr>
          <w:p>
            <w:pPr>
              <w:jc w:val="center"/>
              <w:rPr>
                <w:rFonts w:ascii="宋体"/>
                <w:sz w:val="21"/>
                <w:szCs w:val="21"/>
              </w:rPr>
            </w:pPr>
            <w:r>
              <w:rPr>
                <w:rFonts w:hint="eastAsia" w:ascii="宋体" w:hAnsi="宋体" w:cs="宋体"/>
                <w:sz w:val="21"/>
                <w:szCs w:val="21"/>
              </w:rPr>
              <w:t>结构</w:t>
            </w:r>
          </w:p>
        </w:tc>
        <w:tc>
          <w:tcPr>
            <w:tcW w:w="1752" w:type="dxa"/>
            <w:vMerge w:val="continue"/>
            <w:tcBorders>
              <w:bottom w:val="nil"/>
            </w:tcBorders>
            <w:shd w:val="clear" w:color="auto" w:fill="auto"/>
            <w:vAlign w:val="center"/>
          </w:tcPr>
          <w:p>
            <w:pPr>
              <w:jc w:val="center"/>
              <w:rPr>
                <w:rFonts w:ascii="宋体"/>
                <w:sz w:val="21"/>
                <w:szCs w:val="21"/>
              </w:rPr>
            </w:pPr>
          </w:p>
        </w:tc>
        <w:tc>
          <w:tcPr>
            <w:tcW w:w="1684" w:type="dxa"/>
            <w:vMerge w:val="continue"/>
            <w:tcBorders>
              <w:bottom w:val="nil"/>
            </w:tcBorders>
            <w:shd w:val="clear" w:color="auto" w:fill="auto"/>
            <w:vAlign w:val="center"/>
          </w:tcPr>
          <w:p>
            <w:pPr>
              <w:jc w:val="center"/>
              <w:rPr>
                <w:rFonts w:ascii="宋体"/>
                <w:sz w:val="21"/>
                <w:szCs w:val="21"/>
              </w:rPr>
            </w:pPr>
          </w:p>
        </w:tc>
        <w:tc>
          <w:tcPr>
            <w:tcW w:w="796" w:type="dxa"/>
            <w:shd w:val="clear" w:color="auto" w:fill="auto"/>
            <w:vAlign w:val="center"/>
          </w:tcPr>
          <w:p>
            <w:pPr>
              <w:jc w:val="center"/>
              <w:rPr>
                <w:rFonts w:ascii="宋体"/>
                <w:sz w:val="21"/>
                <w:szCs w:val="21"/>
              </w:rPr>
            </w:pPr>
            <w:r>
              <w:rPr>
                <w:rFonts w:hint="eastAsia" w:ascii="宋体" w:hAnsi="宋体" w:cs="宋体"/>
                <w:sz w:val="21"/>
                <w:szCs w:val="21"/>
              </w:rPr>
              <w:t>●</w:t>
            </w:r>
          </w:p>
        </w:tc>
        <w:tc>
          <w:tcPr>
            <w:tcW w:w="747" w:type="dxa"/>
            <w:shd w:val="clear" w:color="auto" w:fill="auto"/>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86" w:type="dxa"/>
            <w:shd w:val="clear" w:color="auto" w:fill="auto"/>
            <w:vAlign w:val="center"/>
          </w:tcPr>
          <w:p>
            <w:pPr>
              <w:numPr>
                <w:ilvl w:val="0"/>
                <w:numId w:val="1"/>
              </w:numPr>
              <w:jc w:val="center"/>
              <w:rPr>
                <w:rFonts w:ascii="宋体"/>
                <w:sz w:val="21"/>
                <w:szCs w:val="21"/>
              </w:rPr>
            </w:pPr>
          </w:p>
        </w:tc>
        <w:tc>
          <w:tcPr>
            <w:tcW w:w="2957" w:type="dxa"/>
            <w:shd w:val="clear" w:color="auto" w:fill="auto"/>
            <w:vAlign w:val="center"/>
          </w:tcPr>
          <w:p>
            <w:pPr>
              <w:jc w:val="center"/>
              <w:rPr>
                <w:rFonts w:ascii="宋体"/>
                <w:sz w:val="21"/>
                <w:szCs w:val="21"/>
              </w:rPr>
            </w:pPr>
            <w:r>
              <w:rPr>
                <w:rFonts w:hint="eastAsia" w:ascii="宋体" w:hAnsi="宋体" w:cs="宋体"/>
                <w:sz w:val="21"/>
                <w:szCs w:val="21"/>
              </w:rPr>
              <w:t>内部布线</w:t>
            </w:r>
          </w:p>
        </w:tc>
        <w:tc>
          <w:tcPr>
            <w:tcW w:w="1752" w:type="dxa"/>
            <w:vMerge w:val="continue"/>
            <w:tcBorders>
              <w:bottom w:val="nil"/>
            </w:tcBorders>
            <w:shd w:val="clear" w:color="auto" w:fill="auto"/>
            <w:vAlign w:val="center"/>
          </w:tcPr>
          <w:p>
            <w:pPr>
              <w:jc w:val="center"/>
              <w:rPr>
                <w:rFonts w:ascii="宋体"/>
                <w:sz w:val="21"/>
                <w:szCs w:val="21"/>
              </w:rPr>
            </w:pPr>
          </w:p>
        </w:tc>
        <w:tc>
          <w:tcPr>
            <w:tcW w:w="1684" w:type="dxa"/>
            <w:vMerge w:val="continue"/>
            <w:tcBorders>
              <w:bottom w:val="nil"/>
            </w:tcBorders>
            <w:shd w:val="clear" w:color="auto" w:fill="auto"/>
            <w:vAlign w:val="center"/>
          </w:tcPr>
          <w:p>
            <w:pPr>
              <w:jc w:val="center"/>
              <w:rPr>
                <w:rFonts w:ascii="宋体"/>
                <w:sz w:val="21"/>
                <w:szCs w:val="21"/>
              </w:rPr>
            </w:pPr>
          </w:p>
        </w:tc>
        <w:tc>
          <w:tcPr>
            <w:tcW w:w="796" w:type="dxa"/>
            <w:shd w:val="clear" w:color="auto" w:fill="auto"/>
            <w:vAlign w:val="center"/>
          </w:tcPr>
          <w:p>
            <w:pPr>
              <w:jc w:val="center"/>
              <w:rPr>
                <w:rFonts w:ascii="宋体"/>
                <w:sz w:val="21"/>
                <w:szCs w:val="21"/>
              </w:rPr>
            </w:pPr>
            <w:r>
              <w:rPr>
                <w:rFonts w:hint="eastAsia" w:ascii="宋体" w:hAnsi="宋体" w:cs="宋体"/>
                <w:sz w:val="21"/>
                <w:szCs w:val="21"/>
              </w:rPr>
              <w:t>●</w:t>
            </w:r>
          </w:p>
        </w:tc>
        <w:tc>
          <w:tcPr>
            <w:tcW w:w="747" w:type="dxa"/>
            <w:shd w:val="clear" w:color="auto" w:fill="auto"/>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86" w:type="dxa"/>
            <w:shd w:val="clear" w:color="auto" w:fill="auto"/>
            <w:vAlign w:val="center"/>
          </w:tcPr>
          <w:p>
            <w:pPr>
              <w:numPr>
                <w:ilvl w:val="0"/>
                <w:numId w:val="1"/>
              </w:numPr>
              <w:jc w:val="center"/>
              <w:rPr>
                <w:rFonts w:ascii="宋体"/>
                <w:sz w:val="21"/>
                <w:szCs w:val="21"/>
              </w:rPr>
            </w:pPr>
          </w:p>
        </w:tc>
        <w:tc>
          <w:tcPr>
            <w:tcW w:w="2957" w:type="dxa"/>
            <w:shd w:val="clear" w:color="auto" w:fill="auto"/>
            <w:vAlign w:val="center"/>
          </w:tcPr>
          <w:p>
            <w:pPr>
              <w:jc w:val="center"/>
              <w:rPr>
                <w:rFonts w:ascii="宋体"/>
                <w:sz w:val="21"/>
                <w:szCs w:val="21"/>
              </w:rPr>
            </w:pPr>
            <w:r>
              <w:rPr>
                <w:rFonts w:hint="eastAsia" w:ascii="宋体" w:hAnsi="宋体" w:cs="宋体"/>
                <w:sz w:val="21"/>
                <w:szCs w:val="21"/>
              </w:rPr>
              <w:t>电源连接和外部软线</w:t>
            </w:r>
          </w:p>
        </w:tc>
        <w:tc>
          <w:tcPr>
            <w:tcW w:w="1752" w:type="dxa"/>
            <w:vMerge w:val="continue"/>
            <w:tcBorders>
              <w:bottom w:val="nil"/>
            </w:tcBorders>
            <w:shd w:val="clear" w:color="auto" w:fill="auto"/>
            <w:vAlign w:val="center"/>
          </w:tcPr>
          <w:p>
            <w:pPr>
              <w:jc w:val="center"/>
              <w:rPr>
                <w:rFonts w:ascii="宋体"/>
                <w:sz w:val="21"/>
                <w:szCs w:val="21"/>
              </w:rPr>
            </w:pPr>
          </w:p>
        </w:tc>
        <w:tc>
          <w:tcPr>
            <w:tcW w:w="1684" w:type="dxa"/>
            <w:vMerge w:val="continue"/>
            <w:tcBorders>
              <w:bottom w:val="nil"/>
            </w:tcBorders>
            <w:shd w:val="clear" w:color="auto" w:fill="auto"/>
            <w:vAlign w:val="center"/>
          </w:tcPr>
          <w:p>
            <w:pPr>
              <w:jc w:val="center"/>
              <w:rPr>
                <w:rFonts w:ascii="宋体"/>
                <w:sz w:val="21"/>
                <w:szCs w:val="21"/>
              </w:rPr>
            </w:pPr>
          </w:p>
        </w:tc>
        <w:tc>
          <w:tcPr>
            <w:tcW w:w="796" w:type="dxa"/>
            <w:shd w:val="clear" w:color="auto" w:fill="auto"/>
            <w:vAlign w:val="center"/>
          </w:tcPr>
          <w:p>
            <w:pPr>
              <w:jc w:val="center"/>
              <w:rPr>
                <w:rFonts w:ascii="宋体"/>
                <w:sz w:val="21"/>
                <w:szCs w:val="21"/>
              </w:rPr>
            </w:pPr>
            <w:r>
              <w:rPr>
                <w:rFonts w:hint="eastAsia" w:ascii="宋体" w:hAnsi="宋体" w:cs="宋体"/>
                <w:sz w:val="21"/>
                <w:szCs w:val="21"/>
              </w:rPr>
              <w:t>●</w:t>
            </w:r>
          </w:p>
        </w:tc>
        <w:tc>
          <w:tcPr>
            <w:tcW w:w="747" w:type="dxa"/>
            <w:shd w:val="clear" w:color="auto" w:fill="auto"/>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86" w:type="dxa"/>
            <w:shd w:val="clear" w:color="auto" w:fill="auto"/>
            <w:vAlign w:val="center"/>
          </w:tcPr>
          <w:p>
            <w:pPr>
              <w:numPr>
                <w:ilvl w:val="0"/>
                <w:numId w:val="1"/>
              </w:numPr>
              <w:jc w:val="center"/>
              <w:rPr>
                <w:rFonts w:ascii="宋体"/>
                <w:sz w:val="21"/>
                <w:szCs w:val="21"/>
              </w:rPr>
            </w:pPr>
          </w:p>
        </w:tc>
        <w:tc>
          <w:tcPr>
            <w:tcW w:w="2957" w:type="dxa"/>
            <w:shd w:val="clear" w:color="auto" w:fill="auto"/>
            <w:vAlign w:val="center"/>
          </w:tcPr>
          <w:p>
            <w:pPr>
              <w:jc w:val="center"/>
              <w:rPr>
                <w:rFonts w:ascii="宋体"/>
                <w:sz w:val="21"/>
                <w:szCs w:val="21"/>
              </w:rPr>
            </w:pPr>
            <w:r>
              <w:rPr>
                <w:rFonts w:hint="eastAsia" w:ascii="宋体" w:hAnsi="宋体" w:cs="宋体"/>
                <w:sz w:val="21"/>
                <w:szCs w:val="21"/>
              </w:rPr>
              <w:t>外导线用接线端子</w:t>
            </w:r>
          </w:p>
        </w:tc>
        <w:tc>
          <w:tcPr>
            <w:tcW w:w="1752" w:type="dxa"/>
            <w:vMerge w:val="continue"/>
            <w:tcBorders>
              <w:bottom w:val="nil"/>
            </w:tcBorders>
            <w:shd w:val="clear" w:color="auto" w:fill="auto"/>
            <w:vAlign w:val="center"/>
          </w:tcPr>
          <w:p>
            <w:pPr>
              <w:jc w:val="center"/>
              <w:rPr>
                <w:rFonts w:ascii="宋体"/>
                <w:sz w:val="21"/>
                <w:szCs w:val="21"/>
              </w:rPr>
            </w:pPr>
          </w:p>
        </w:tc>
        <w:tc>
          <w:tcPr>
            <w:tcW w:w="1684" w:type="dxa"/>
            <w:vMerge w:val="continue"/>
            <w:tcBorders>
              <w:bottom w:val="nil"/>
            </w:tcBorders>
            <w:shd w:val="clear" w:color="auto" w:fill="auto"/>
            <w:vAlign w:val="center"/>
          </w:tcPr>
          <w:p>
            <w:pPr>
              <w:jc w:val="center"/>
              <w:rPr>
                <w:rFonts w:ascii="宋体"/>
                <w:sz w:val="21"/>
                <w:szCs w:val="21"/>
              </w:rPr>
            </w:pPr>
          </w:p>
        </w:tc>
        <w:tc>
          <w:tcPr>
            <w:tcW w:w="796" w:type="dxa"/>
            <w:shd w:val="clear" w:color="auto" w:fill="auto"/>
            <w:vAlign w:val="center"/>
          </w:tcPr>
          <w:p>
            <w:pPr>
              <w:jc w:val="center"/>
              <w:rPr>
                <w:rFonts w:ascii="宋体"/>
                <w:sz w:val="21"/>
                <w:szCs w:val="21"/>
              </w:rPr>
            </w:pPr>
            <w:r>
              <w:rPr>
                <w:rFonts w:hint="eastAsia" w:ascii="宋体" w:hAnsi="宋体" w:cs="宋体"/>
                <w:sz w:val="21"/>
                <w:szCs w:val="21"/>
              </w:rPr>
              <w:t>●</w:t>
            </w:r>
          </w:p>
        </w:tc>
        <w:tc>
          <w:tcPr>
            <w:tcW w:w="747" w:type="dxa"/>
            <w:shd w:val="clear" w:color="auto" w:fill="auto"/>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86" w:type="dxa"/>
            <w:shd w:val="clear" w:color="auto" w:fill="auto"/>
            <w:vAlign w:val="center"/>
          </w:tcPr>
          <w:p>
            <w:pPr>
              <w:numPr>
                <w:ilvl w:val="0"/>
                <w:numId w:val="1"/>
              </w:numPr>
              <w:jc w:val="center"/>
              <w:rPr>
                <w:rFonts w:ascii="宋体"/>
                <w:sz w:val="21"/>
                <w:szCs w:val="21"/>
              </w:rPr>
            </w:pPr>
          </w:p>
        </w:tc>
        <w:tc>
          <w:tcPr>
            <w:tcW w:w="2957" w:type="dxa"/>
            <w:shd w:val="clear" w:color="auto" w:fill="auto"/>
            <w:vAlign w:val="center"/>
          </w:tcPr>
          <w:p>
            <w:pPr>
              <w:jc w:val="center"/>
              <w:rPr>
                <w:rFonts w:ascii="宋体"/>
                <w:sz w:val="21"/>
                <w:szCs w:val="21"/>
              </w:rPr>
            </w:pPr>
            <w:r>
              <w:rPr>
                <w:rFonts w:hint="eastAsia" w:ascii="宋体" w:hAnsi="宋体" w:cs="宋体"/>
                <w:sz w:val="21"/>
                <w:szCs w:val="21"/>
              </w:rPr>
              <w:t>接地措施</w:t>
            </w:r>
          </w:p>
        </w:tc>
        <w:tc>
          <w:tcPr>
            <w:tcW w:w="1752" w:type="dxa"/>
            <w:vMerge w:val="continue"/>
            <w:tcBorders>
              <w:bottom w:val="nil"/>
            </w:tcBorders>
            <w:shd w:val="clear" w:color="auto" w:fill="auto"/>
            <w:vAlign w:val="center"/>
          </w:tcPr>
          <w:p>
            <w:pPr>
              <w:jc w:val="center"/>
              <w:rPr>
                <w:rFonts w:ascii="宋体"/>
                <w:sz w:val="21"/>
                <w:szCs w:val="21"/>
              </w:rPr>
            </w:pPr>
          </w:p>
        </w:tc>
        <w:tc>
          <w:tcPr>
            <w:tcW w:w="1684" w:type="dxa"/>
            <w:vMerge w:val="continue"/>
            <w:tcBorders>
              <w:bottom w:val="nil"/>
            </w:tcBorders>
            <w:shd w:val="clear" w:color="auto" w:fill="auto"/>
            <w:vAlign w:val="center"/>
          </w:tcPr>
          <w:p>
            <w:pPr>
              <w:jc w:val="center"/>
              <w:rPr>
                <w:rFonts w:ascii="宋体"/>
                <w:sz w:val="21"/>
                <w:szCs w:val="21"/>
              </w:rPr>
            </w:pPr>
          </w:p>
        </w:tc>
        <w:tc>
          <w:tcPr>
            <w:tcW w:w="796" w:type="dxa"/>
            <w:shd w:val="clear" w:color="auto" w:fill="auto"/>
            <w:vAlign w:val="center"/>
          </w:tcPr>
          <w:p>
            <w:pPr>
              <w:jc w:val="center"/>
              <w:rPr>
                <w:rFonts w:ascii="宋体"/>
                <w:sz w:val="21"/>
                <w:szCs w:val="21"/>
              </w:rPr>
            </w:pPr>
            <w:r>
              <w:rPr>
                <w:rFonts w:hint="eastAsia" w:ascii="宋体" w:hAnsi="宋体" w:cs="宋体"/>
                <w:sz w:val="21"/>
                <w:szCs w:val="21"/>
              </w:rPr>
              <w:t>●</w:t>
            </w:r>
          </w:p>
        </w:tc>
        <w:tc>
          <w:tcPr>
            <w:tcW w:w="747" w:type="dxa"/>
            <w:shd w:val="clear" w:color="auto" w:fill="auto"/>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86" w:type="dxa"/>
            <w:shd w:val="clear" w:color="auto" w:fill="auto"/>
            <w:vAlign w:val="center"/>
          </w:tcPr>
          <w:p>
            <w:pPr>
              <w:numPr>
                <w:ilvl w:val="0"/>
                <w:numId w:val="1"/>
              </w:numPr>
              <w:jc w:val="center"/>
              <w:rPr>
                <w:rFonts w:ascii="宋体"/>
                <w:sz w:val="21"/>
                <w:szCs w:val="21"/>
              </w:rPr>
            </w:pPr>
          </w:p>
        </w:tc>
        <w:tc>
          <w:tcPr>
            <w:tcW w:w="2957" w:type="dxa"/>
            <w:shd w:val="clear" w:color="auto" w:fill="auto"/>
            <w:vAlign w:val="center"/>
          </w:tcPr>
          <w:p>
            <w:pPr>
              <w:jc w:val="center"/>
              <w:rPr>
                <w:rFonts w:ascii="宋体"/>
                <w:sz w:val="21"/>
                <w:szCs w:val="21"/>
              </w:rPr>
            </w:pPr>
            <w:r>
              <w:rPr>
                <w:rFonts w:hint="eastAsia" w:ascii="宋体" w:hAnsi="宋体" w:cs="宋体"/>
                <w:sz w:val="21"/>
                <w:szCs w:val="21"/>
              </w:rPr>
              <w:t>电气间隙、爬电距离和固体绝缘</w:t>
            </w:r>
          </w:p>
        </w:tc>
        <w:tc>
          <w:tcPr>
            <w:tcW w:w="1752" w:type="dxa"/>
            <w:vMerge w:val="continue"/>
            <w:tcBorders>
              <w:bottom w:val="single" w:color="auto" w:sz="4" w:space="0"/>
            </w:tcBorders>
            <w:shd w:val="clear" w:color="auto" w:fill="auto"/>
            <w:vAlign w:val="center"/>
          </w:tcPr>
          <w:p>
            <w:pPr>
              <w:jc w:val="center"/>
              <w:rPr>
                <w:rFonts w:ascii="宋体"/>
                <w:sz w:val="21"/>
                <w:szCs w:val="21"/>
              </w:rPr>
            </w:pPr>
          </w:p>
        </w:tc>
        <w:tc>
          <w:tcPr>
            <w:tcW w:w="1684" w:type="dxa"/>
            <w:vMerge w:val="continue"/>
            <w:tcBorders>
              <w:bottom w:val="single" w:color="auto" w:sz="4" w:space="0"/>
            </w:tcBorders>
            <w:shd w:val="clear" w:color="auto" w:fill="auto"/>
            <w:vAlign w:val="center"/>
          </w:tcPr>
          <w:p>
            <w:pPr>
              <w:jc w:val="center"/>
              <w:rPr>
                <w:rFonts w:ascii="宋体"/>
                <w:sz w:val="21"/>
                <w:szCs w:val="21"/>
              </w:rPr>
            </w:pPr>
          </w:p>
        </w:tc>
        <w:tc>
          <w:tcPr>
            <w:tcW w:w="796" w:type="dxa"/>
            <w:shd w:val="clear" w:color="auto" w:fill="auto"/>
            <w:vAlign w:val="center"/>
          </w:tcPr>
          <w:p>
            <w:pPr>
              <w:jc w:val="center"/>
              <w:rPr>
                <w:rFonts w:ascii="宋体"/>
                <w:sz w:val="21"/>
                <w:szCs w:val="21"/>
              </w:rPr>
            </w:pPr>
            <w:r>
              <w:rPr>
                <w:rFonts w:hint="eastAsia" w:ascii="宋体" w:hAnsi="宋体" w:cs="宋体"/>
                <w:sz w:val="21"/>
                <w:szCs w:val="21"/>
              </w:rPr>
              <w:t>●</w:t>
            </w:r>
          </w:p>
        </w:tc>
        <w:tc>
          <w:tcPr>
            <w:tcW w:w="747" w:type="dxa"/>
            <w:shd w:val="clear" w:color="auto" w:fill="auto"/>
            <w:vAlign w:val="center"/>
          </w:tcPr>
          <w:p>
            <w:pPr>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86" w:type="dxa"/>
            <w:shd w:val="clear" w:color="auto" w:fill="auto"/>
            <w:vAlign w:val="center"/>
          </w:tcPr>
          <w:p>
            <w:pPr>
              <w:numPr>
                <w:ilvl w:val="0"/>
                <w:numId w:val="1"/>
              </w:numPr>
              <w:jc w:val="center"/>
              <w:rPr>
                <w:rFonts w:ascii="宋体"/>
                <w:sz w:val="21"/>
                <w:szCs w:val="21"/>
              </w:rPr>
            </w:pPr>
          </w:p>
        </w:tc>
        <w:tc>
          <w:tcPr>
            <w:tcW w:w="2957" w:type="dxa"/>
            <w:shd w:val="clear" w:color="auto" w:fill="auto"/>
            <w:vAlign w:val="center"/>
          </w:tcPr>
          <w:p>
            <w:pPr>
              <w:jc w:val="center"/>
              <w:rPr>
                <w:rFonts w:ascii="宋体"/>
                <w:sz w:val="21"/>
                <w:szCs w:val="21"/>
              </w:rPr>
            </w:pPr>
            <w:r>
              <w:rPr>
                <w:rFonts w:hint="eastAsia" w:ascii="宋体" w:hAnsi="宋体" w:cs="宋体"/>
                <w:sz w:val="21"/>
                <w:szCs w:val="21"/>
              </w:rPr>
              <w:t>连续骚扰电压</w:t>
            </w:r>
          </w:p>
        </w:tc>
        <w:tc>
          <w:tcPr>
            <w:tcW w:w="1752" w:type="dxa"/>
            <w:vMerge w:val="restart"/>
            <w:tcBorders>
              <w:top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4343.1</w:t>
            </w:r>
            <w:r>
              <w:rPr>
                <w:rFonts w:hint="eastAsia" w:ascii="宋体" w:hAnsi="宋体" w:cs="宋体"/>
                <w:sz w:val="21"/>
                <w:szCs w:val="21"/>
              </w:rPr>
              <w:t>-2009</w:t>
            </w:r>
          </w:p>
        </w:tc>
        <w:tc>
          <w:tcPr>
            <w:tcW w:w="1684" w:type="dxa"/>
            <w:vMerge w:val="restart"/>
            <w:tcBorders>
              <w:top w:val="single" w:color="auto" w:sz="4" w:space="0"/>
            </w:tcBorders>
            <w:shd w:val="clear" w:color="auto" w:fill="auto"/>
            <w:vAlign w:val="center"/>
          </w:tcPr>
          <w:p>
            <w:pPr>
              <w:jc w:val="center"/>
              <w:rPr>
                <w:rFonts w:ascii="宋体" w:hAnsi="宋体" w:cs="宋体"/>
                <w:sz w:val="21"/>
                <w:szCs w:val="21"/>
              </w:rPr>
            </w:pPr>
            <w:r>
              <w:rPr>
                <w:rFonts w:ascii="宋体" w:hAnsi="宋体" w:cs="宋体"/>
                <w:sz w:val="21"/>
                <w:szCs w:val="21"/>
              </w:rPr>
              <w:t>GB  4343.1</w:t>
            </w:r>
            <w:r>
              <w:rPr>
                <w:rFonts w:hint="eastAsia" w:ascii="宋体" w:hAnsi="宋体" w:cs="宋体"/>
                <w:sz w:val="21"/>
                <w:szCs w:val="21"/>
              </w:rPr>
              <w:t>-2009</w:t>
            </w:r>
          </w:p>
        </w:tc>
        <w:tc>
          <w:tcPr>
            <w:tcW w:w="796" w:type="dxa"/>
            <w:shd w:val="clear" w:color="auto" w:fill="auto"/>
            <w:vAlign w:val="center"/>
          </w:tcPr>
          <w:p>
            <w:pPr>
              <w:jc w:val="center"/>
              <w:rPr>
                <w:rFonts w:ascii="宋体"/>
                <w:sz w:val="21"/>
                <w:szCs w:val="21"/>
              </w:rPr>
            </w:pPr>
          </w:p>
        </w:tc>
        <w:tc>
          <w:tcPr>
            <w:tcW w:w="747" w:type="dxa"/>
            <w:shd w:val="clear" w:color="auto" w:fill="auto"/>
            <w:vAlign w:val="center"/>
          </w:tcPr>
          <w:p>
            <w:pPr>
              <w:jc w:val="center"/>
              <w:rPr>
                <w:rFonts w:ascii="宋体"/>
                <w:sz w:val="21"/>
                <w:szCs w:val="21"/>
              </w:rPr>
            </w:pP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86" w:type="dxa"/>
            <w:shd w:val="clear" w:color="auto" w:fill="auto"/>
            <w:vAlign w:val="center"/>
          </w:tcPr>
          <w:p>
            <w:pPr>
              <w:numPr>
                <w:ilvl w:val="0"/>
                <w:numId w:val="1"/>
              </w:numPr>
              <w:jc w:val="center"/>
              <w:rPr>
                <w:rFonts w:ascii="宋体"/>
                <w:sz w:val="21"/>
                <w:szCs w:val="21"/>
              </w:rPr>
            </w:pPr>
          </w:p>
        </w:tc>
        <w:tc>
          <w:tcPr>
            <w:tcW w:w="2957" w:type="dxa"/>
            <w:shd w:val="clear" w:color="auto" w:fill="auto"/>
            <w:vAlign w:val="center"/>
          </w:tcPr>
          <w:p>
            <w:pPr>
              <w:jc w:val="center"/>
              <w:rPr>
                <w:rFonts w:ascii="宋体"/>
                <w:sz w:val="21"/>
                <w:szCs w:val="21"/>
              </w:rPr>
            </w:pPr>
            <w:r>
              <w:rPr>
                <w:rFonts w:hint="eastAsia" w:ascii="宋体" w:hAnsi="宋体" w:cs="宋体"/>
                <w:sz w:val="21"/>
                <w:szCs w:val="21"/>
              </w:rPr>
              <w:t>连续骚扰功率</w:t>
            </w:r>
          </w:p>
        </w:tc>
        <w:tc>
          <w:tcPr>
            <w:tcW w:w="1752" w:type="dxa"/>
            <w:vMerge w:val="continue"/>
            <w:shd w:val="clear" w:color="auto" w:fill="auto"/>
            <w:vAlign w:val="center"/>
          </w:tcPr>
          <w:p>
            <w:pPr>
              <w:jc w:val="center"/>
              <w:rPr>
                <w:rFonts w:ascii="宋体"/>
                <w:sz w:val="21"/>
                <w:szCs w:val="21"/>
              </w:rPr>
            </w:pPr>
          </w:p>
        </w:tc>
        <w:tc>
          <w:tcPr>
            <w:tcW w:w="1684" w:type="dxa"/>
            <w:vMerge w:val="continue"/>
            <w:shd w:val="clear" w:color="auto" w:fill="auto"/>
            <w:vAlign w:val="center"/>
          </w:tcPr>
          <w:p>
            <w:pPr>
              <w:jc w:val="center"/>
              <w:rPr>
                <w:rFonts w:ascii="宋体"/>
                <w:sz w:val="21"/>
                <w:szCs w:val="21"/>
              </w:rPr>
            </w:pPr>
          </w:p>
        </w:tc>
        <w:tc>
          <w:tcPr>
            <w:tcW w:w="796" w:type="dxa"/>
            <w:shd w:val="clear" w:color="auto" w:fill="auto"/>
            <w:vAlign w:val="center"/>
          </w:tcPr>
          <w:p>
            <w:pPr>
              <w:jc w:val="center"/>
              <w:rPr>
                <w:rFonts w:ascii="宋体"/>
                <w:sz w:val="21"/>
                <w:szCs w:val="21"/>
              </w:rPr>
            </w:pPr>
          </w:p>
        </w:tc>
        <w:tc>
          <w:tcPr>
            <w:tcW w:w="747" w:type="dxa"/>
            <w:shd w:val="clear" w:color="auto" w:fill="auto"/>
            <w:vAlign w:val="center"/>
          </w:tcPr>
          <w:p>
            <w:pPr>
              <w:jc w:val="center"/>
              <w:rPr>
                <w:rFonts w:ascii="宋体"/>
                <w:sz w:val="21"/>
                <w:szCs w:val="21"/>
              </w:rPr>
            </w:pP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8522" w:type="dxa"/>
            <w:gridSpan w:val="6"/>
            <w:shd w:val="clear" w:color="auto" w:fill="auto"/>
            <w:vAlign w:val="center"/>
          </w:tcPr>
          <w:p>
            <w:pPr>
              <w:spacing w:line="400" w:lineRule="exact"/>
              <w:rPr>
                <w:rFonts w:ascii="宋体"/>
                <w:sz w:val="21"/>
                <w:szCs w:val="21"/>
              </w:rPr>
            </w:pPr>
            <w:r>
              <w:rPr>
                <w:rFonts w:ascii="宋体" w:hAnsi="宋体" w:cs="宋体"/>
                <w:sz w:val="21"/>
                <w:szCs w:val="21"/>
                <w:vertAlign w:val="superscript"/>
              </w:rPr>
              <w:t xml:space="preserve">a </w:t>
            </w:r>
            <w:r>
              <w:rPr>
                <w:rFonts w:hint="eastAsia" w:ascii="宋体" w:hAnsi="宋体" w:cs="宋体"/>
                <w:sz w:val="21"/>
                <w:szCs w:val="21"/>
              </w:rPr>
              <w:t>极重要质量项目；</w:t>
            </w:r>
          </w:p>
          <w:p>
            <w:pPr>
              <w:rPr>
                <w:rFonts w:ascii="宋体"/>
                <w:sz w:val="21"/>
                <w:szCs w:val="21"/>
              </w:rPr>
            </w:pPr>
            <w:r>
              <w:rPr>
                <w:rFonts w:ascii="宋体" w:hAnsi="宋体" w:cs="宋体"/>
                <w:sz w:val="21"/>
                <w:szCs w:val="21"/>
                <w:vertAlign w:val="superscript"/>
              </w:rPr>
              <w:t>b</w:t>
            </w:r>
            <w:r>
              <w:rPr>
                <w:rFonts w:ascii="宋体" w:hAnsi="宋体" w:cs="宋体"/>
                <w:sz w:val="21"/>
                <w:szCs w:val="21"/>
              </w:rPr>
              <w:t xml:space="preserve"> </w:t>
            </w:r>
            <w:r>
              <w:rPr>
                <w:rFonts w:hint="eastAsia" w:ascii="宋体" w:hAnsi="宋体" w:cs="宋体"/>
                <w:sz w:val="21"/>
                <w:szCs w:val="21"/>
              </w:rPr>
              <w:t>重要质量项目。</w:t>
            </w:r>
          </w:p>
        </w:tc>
      </w:tr>
    </w:tbl>
    <w:p>
      <w:pPr>
        <w:snapToGrid w:val="0"/>
        <w:spacing w:beforeLines="50" w:line="360" w:lineRule="auto"/>
        <w:ind w:firstLine="360" w:firstLineChars="200"/>
        <w:jc w:val="left"/>
        <w:rPr>
          <w:rFonts w:ascii="宋体"/>
          <w:sz w:val="18"/>
          <w:szCs w:val="18"/>
        </w:rPr>
      </w:pPr>
      <w:r>
        <w:rPr>
          <w:rFonts w:hint="eastAsia" w:ascii="宋体" w:hAnsi="宋体" w:cs="宋体"/>
          <w:sz w:val="18"/>
          <w:szCs w:val="18"/>
        </w:rPr>
        <w:t>注：①极重要质量项目是指直接涉及人体健康、使用安全的指标；重要质量项目是指产品涉及环保、能效、关键性能或特征值的指标。</w:t>
      </w:r>
    </w:p>
    <w:p>
      <w:pPr>
        <w:snapToGrid w:val="0"/>
        <w:spacing w:line="360" w:lineRule="auto"/>
        <w:ind w:firstLine="360" w:firstLineChars="200"/>
        <w:jc w:val="left"/>
        <w:rPr>
          <w:rFonts w:ascii="宋体" w:hAnsi="宋体" w:cs="宋体"/>
          <w:sz w:val="18"/>
          <w:szCs w:val="18"/>
        </w:rPr>
      </w:pPr>
      <w:r>
        <w:rPr>
          <w:rFonts w:hint="eastAsia" w:ascii="宋体" w:hAnsi="宋体" w:cs="宋体"/>
          <w:sz w:val="18"/>
          <w:szCs w:val="18"/>
        </w:rPr>
        <w:t>②上表所列检验项目是有关法律法规、标准等规定的，重点涉及健康、安全、节能、环保</w:t>
      </w:r>
      <w:r>
        <w:rPr>
          <w:rFonts w:hint="eastAsia" w:ascii="??" w:hAnsi="??" w:cs="宋体"/>
          <w:kern w:val="0"/>
          <w:sz w:val="18"/>
          <w:szCs w:val="18"/>
        </w:rPr>
        <w:t>以及消费者、有关组织反映有质量问题的</w:t>
      </w:r>
      <w:r>
        <w:rPr>
          <w:rFonts w:hint="eastAsia" w:ascii="宋体" w:hAnsi="宋体" w:cs="宋体"/>
          <w:sz w:val="18"/>
          <w:szCs w:val="18"/>
        </w:rPr>
        <w:t>重要项目。</w:t>
      </w:r>
    </w:p>
    <w:p>
      <w:pPr>
        <w:snapToGrid w:val="0"/>
        <w:spacing w:line="360" w:lineRule="auto"/>
        <w:rPr>
          <w:rFonts w:ascii="宋体" w:hAnsi="宋体" w:cs="宋体"/>
          <w:b/>
          <w:bCs/>
          <w:color w:val="000000"/>
          <w:kern w:val="0"/>
        </w:rPr>
      </w:pPr>
      <w:r>
        <w:rPr>
          <w:rFonts w:hint="eastAsia" w:ascii="宋体" w:hAnsi="宋体" w:cs="宋体"/>
          <w:b/>
          <w:bCs/>
          <w:color w:val="000000"/>
          <w:kern w:val="0"/>
        </w:rPr>
        <w:t>7.2 检验应注意的问题</w:t>
      </w:r>
    </w:p>
    <w:p>
      <w:pPr>
        <w:snapToGrid w:val="0"/>
        <w:spacing w:line="360" w:lineRule="auto"/>
        <w:ind w:firstLine="420" w:firstLineChars="200"/>
        <w:rPr>
          <w:rFonts w:ascii="宋体" w:hAnsi="宋体" w:cs="宋体"/>
          <w:bCs/>
          <w:color w:val="000000"/>
          <w:kern w:val="0"/>
        </w:rPr>
      </w:pPr>
      <w:r>
        <w:rPr>
          <w:rFonts w:hint="eastAsia" w:ascii="宋体" w:hAnsi="宋体" w:cs="宋体"/>
          <w:bCs/>
          <w:color w:val="000000"/>
          <w:kern w:val="0"/>
        </w:rPr>
        <w:t>若被检产品明示的质量要求高于本细则中检验项目依据的标准要求时，应按被检产品明示的质量要求判定。</w:t>
      </w:r>
    </w:p>
    <w:p>
      <w:pPr>
        <w:snapToGrid w:val="0"/>
        <w:spacing w:line="360" w:lineRule="auto"/>
        <w:ind w:firstLine="420" w:firstLineChars="200"/>
        <w:rPr>
          <w:rFonts w:ascii="宋体" w:hAnsi="宋体" w:cs="宋体"/>
          <w:bCs/>
          <w:color w:val="000000"/>
          <w:kern w:val="0"/>
        </w:rPr>
      </w:pPr>
      <w:r>
        <w:rPr>
          <w:rFonts w:hint="eastAsia" w:ascii="宋体" w:hAnsi="宋体" w:cs="宋体"/>
          <w:bCs/>
          <w:color w:val="000000"/>
          <w:kern w:val="0"/>
        </w:rPr>
        <w:t>若被检产品明示的质量要求低于本细则中检验项目依据的强制性标准要求时，应按照强制性标准要求判定。</w:t>
      </w:r>
    </w:p>
    <w:p>
      <w:pPr>
        <w:snapToGrid w:val="0"/>
        <w:spacing w:line="360" w:lineRule="auto"/>
        <w:ind w:firstLine="420" w:firstLineChars="200"/>
        <w:rPr>
          <w:rFonts w:ascii="宋体" w:hAnsi="宋体" w:cs="宋体"/>
          <w:bCs/>
          <w:color w:val="000000"/>
          <w:kern w:val="0"/>
        </w:rPr>
      </w:pPr>
      <w:r>
        <w:rPr>
          <w:rFonts w:hint="eastAsia" w:ascii="宋体" w:hAnsi="宋体" w:cs="宋体"/>
          <w:bCs/>
          <w:color w:val="000000"/>
          <w:kern w:val="0"/>
        </w:rPr>
        <w:t>若被检产品明示的质量要求缺少本细则中检验项目依据的强制性标准要求时，应按照强制性标准要求判定。</w:t>
      </w:r>
      <w:bookmarkStart w:id="0" w:name="_GoBack"/>
      <w:bookmarkEnd w:id="0"/>
    </w:p>
    <w:p>
      <w:pPr>
        <w:snapToGrid w:val="0"/>
        <w:spacing w:line="360" w:lineRule="auto"/>
        <w:rPr>
          <w:rFonts w:ascii="宋体"/>
          <w:b/>
          <w:bCs/>
          <w:color w:val="000000"/>
          <w:kern w:val="0"/>
        </w:rPr>
      </w:pPr>
      <w:r>
        <w:rPr>
          <w:rFonts w:ascii="宋体" w:hAnsi="宋体" w:cs="宋体"/>
          <w:b/>
          <w:bCs/>
          <w:color w:val="000000"/>
          <w:kern w:val="0"/>
        </w:rPr>
        <w:t xml:space="preserve">8 </w:t>
      </w:r>
      <w:r>
        <w:rPr>
          <w:rFonts w:hint="eastAsia" w:ascii="宋体" w:hAnsi="宋体" w:cs="宋体"/>
          <w:b/>
          <w:bCs/>
          <w:color w:val="000000"/>
          <w:kern w:val="0"/>
        </w:rPr>
        <w:t>判定原则</w:t>
      </w:r>
    </w:p>
    <w:p>
      <w:pPr>
        <w:spacing w:line="360" w:lineRule="auto"/>
        <w:ind w:firstLine="420" w:firstLineChars="200"/>
        <w:rPr>
          <w:rFonts w:ascii="宋体" w:hAnsi="宋体" w:cs="宋体"/>
          <w:color w:val="000000"/>
          <w:kern w:val="0"/>
        </w:rPr>
      </w:pPr>
      <w:r>
        <w:rPr>
          <w:rFonts w:hint="eastAsia" w:ascii="宋体" w:hAnsi="宋体" w:cs="宋体"/>
          <w:color w:val="000000"/>
          <w:kern w:val="0"/>
        </w:rPr>
        <w:t>经检验，检验项目全部合格，判定为被抽查产品合格；检验项目中任一项或一项以上不合格，判定为被抽查产品不合格。其中，当产品存在A类项目不合格时，属于严重不合格。</w:t>
      </w:r>
    </w:p>
    <w:p>
      <w:pPr>
        <w:spacing w:line="360" w:lineRule="auto"/>
        <w:rPr>
          <w:rFonts w:ascii="宋体" w:hAnsi="宋体" w:cs="宋体"/>
          <w:b/>
          <w:bCs/>
          <w:kern w:val="0"/>
        </w:rPr>
      </w:pPr>
      <w:r>
        <w:rPr>
          <w:rFonts w:ascii="宋体" w:hAnsi="宋体" w:cs="宋体"/>
          <w:b/>
          <w:bCs/>
          <w:kern w:val="0"/>
        </w:rPr>
        <w:t xml:space="preserve">9 </w:t>
      </w:r>
      <w:r>
        <w:rPr>
          <w:rFonts w:hint="eastAsia" w:ascii="宋体" w:hAnsi="宋体" w:cs="宋体"/>
          <w:b/>
          <w:bCs/>
          <w:kern w:val="0"/>
        </w:rPr>
        <w:t>异议处理</w:t>
      </w:r>
    </w:p>
    <w:p>
      <w:pPr>
        <w:spacing w:line="360" w:lineRule="auto"/>
        <w:ind w:firstLine="411" w:firstLineChars="196"/>
        <w:rPr>
          <w:rFonts w:ascii="宋体" w:hAnsi="宋体" w:cs="宋体"/>
          <w:kern w:val="0"/>
        </w:rPr>
      </w:pPr>
      <w:r>
        <w:rPr>
          <w:rFonts w:hint="eastAsia" w:ascii="宋体" w:hAnsi="宋体" w:cs="宋体"/>
          <w:kern w:val="0"/>
        </w:rPr>
        <w:t>对判定不合格产品进行异议处理时，按以下方式进行：</w:t>
      </w:r>
    </w:p>
    <w:p>
      <w:pPr>
        <w:spacing w:line="360" w:lineRule="auto"/>
        <w:rPr>
          <w:rFonts w:ascii="宋体" w:hAnsi="宋体" w:cs="宋体"/>
          <w:kern w:val="0"/>
        </w:rPr>
      </w:pPr>
      <w:r>
        <w:rPr>
          <w:rFonts w:hint="eastAsia" w:ascii="宋体" w:hAnsi="宋体" w:cs="宋体"/>
          <w:b/>
          <w:kern w:val="0"/>
        </w:rPr>
        <w:t>9.1</w:t>
      </w:r>
      <w:r>
        <w:rPr>
          <w:rFonts w:hint="eastAsia" w:ascii="宋体" w:hAnsi="宋体" w:cs="宋体"/>
          <w:kern w:val="0"/>
        </w:rPr>
        <w:t xml:space="preserve"> 核查不合格项目相关证据，能够以记录（纸质记录或电子记录或影像记录）或与不合格项目相关联的其它质量数据等检验证据证明。</w:t>
      </w:r>
    </w:p>
    <w:p>
      <w:pPr>
        <w:spacing w:line="360" w:lineRule="auto"/>
        <w:rPr>
          <w:rFonts w:ascii="宋体" w:hAnsi="宋体" w:cs="宋体"/>
          <w:kern w:val="0"/>
        </w:rPr>
      </w:pPr>
      <w:r>
        <w:rPr>
          <w:rFonts w:hint="eastAsia" w:ascii="宋体" w:hAnsi="宋体" w:cs="宋体"/>
          <w:b/>
          <w:kern w:val="0"/>
        </w:rPr>
        <w:t>9.2</w:t>
      </w:r>
      <w:r>
        <w:rPr>
          <w:rFonts w:hint="eastAsia" w:ascii="宋体" w:hAnsi="宋体" w:cs="宋体"/>
          <w:kern w:val="0"/>
        </w:rPr>
        <w:t xml:space="preserve"> 对需要复检并具备检验条件的，处理企业异议的</w:t>
      </w:r>
      <w:r>
        <w:rPr>
          <w:rFonts w:hint="eastAsia" w:ascii="宋体" w:hAnsi="宋体"/>
          <w:kern w:val="0"/>
        </w:rPr>
        <w:t>市场监督管理</w:t>
      </w:r>
      <w:r>
        <w:rPr>
          <w:rFonts w:ascii="宋体" w:hAnsi="宋体"/>
          <w:kern w:val="0"/>
        </w:rPr>
        <w:t>部门</w:t>
      </w:r>
      <w:r>
        <w:rPr>
          <w:rFonts w:hint="eastAsia" w:ascii="宋体" w:hAnsi="宋体" w:cs="宋体"/>
          <w:kern w:val="0"/>
        </w:rPr>
        <w:t>或者指定检验机构应当按原监督抽查方案对留存的样品或抽取的备用样品组织复检，并出具检验报告。复检结论为最终结论。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im Sun">
    <w:altName w:val="方正舒体"/>
    <w:panose1 w:val="00000000000000000000"/>
    <w:charset w:val="86"/>
    <w:family w:val="swiss"/>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179CB"/>
    <w:multiLevelType w:val="multilevel"/>
    <w:tmpl w:val="304179C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432E"/>
    <w:rsid w:val="000A276D"/>
    <w:rsid w:val="0011432E"/>
    <w:rsid w:val="00222C74"/>
    <w:rsid w:val="002F04C7"/>
    <w:rsid w:val="00426E20"/>
    <w:rsid w:val="004B386A"/>
    <w:rsid w:val="005241EE"/>
    <w:rsid w:val="00897CED"/>
    <w:rsid w:val="00936DEB"/>
    <w:rsid w:val="00A9225F"/>
    <w:rsid w:val="00B347F4"/>
    <w:rsid w:val="00E224C0"/>
    <w:rsid w:val="00F83859"/>
    <w:rsid w:val="00F8713B"/>
    <w:rsid w:val="00F92B2F"/>
    <w:rsid w:val="00FA51EF"/>
    <w:rsid w:val="00FB1E18"/>
    <w:rsid w:val="00FC798B"/>
    <w:rsid w:val="05157305"/>
    <w:rsid w:val="4B434F29"/>
    <w:rsid w:val="687D5D1C"/>
    <w:rsid w:val="75E80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unhideWhenUsed/>
    <w:qFormat/>
    <w:uiPriority w:val="0"/>
    <w:pPr>
      <w:spacing w:before="100" w:beforeAutospacing="1" w:after="100" w:afterAutospacing="1"/>
    </w:pPr>
    <w:rPr>
      <w:rFonts w:ascii="Times New Roman" w:hAnsi="Times New Roman" w:eastAsia="宋体" w:cs="Times New Roman"/>
      <w:kern w:val="0"/>
      <w:sz w:val="24"/>
      <w:szCs w:val="20"/>
      <w:lang w:val="en-US" w:eastAsia="zh-CN" w:bidi="ar-SA"/>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326</Words>
  <Characters>1861</Characters>
  <Lines>15</Lines>
  <Paragraphs>4</Paragraphs>
  <TotalTime>103</TotalTime>
  <ScaleCrop>false</ScaleCrop>
  <LinksUpToDate>false</LinksUpToDate>
  <CharactersWithSpaces>2183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2018-10-26T01:46:00Z</dcterms:created>
  <dc:creator>JonMMx 2000</dc:creator>
  <cp:lastModifiedBy>潘雁</cp:lastModifiedBy>
  <dcterms:modified xsi:type="dcterms:W3CDTF">2018-11-23T06:30:06Z</dcterms:modified>
  <dc:title>广东省热泵热风机产品质量监督抽查实施细则</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