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黑体" w:hAnsi="宋体" w:eastAsia="黑体" w:cs="宋体"/>
          <w:bCs/>
          <w:color w:val="000000"/>
          <w:kern w:val="10"/>
          <w:sz w:val="32"/>
          <w:szCs w:val="32"/>
        </w:rPr>
        <w:t>广东省床上用品产品质量监督抽查实施细则</w:t>
      </w:r>
    </w:p>
    <w:p>
      <w:pPr>
        <w:spacing w:line="440" w:lineRule="exact"/>
        <w:jc w:val="center"/>
        <w:rPr>
          <w:rFonts w:ascii="黑体" w:hAnsi="宋体" w:eastAsia="黑体" w:cs="宋体"/>
          <w:bCs/>
          <w:color w:val="000000"/>
          <w:kern w:val="10"/>
          <w:sz w:val="32"/>
          <w:szCs w:val="32"/>
        </w:rPr>
      </w:pPr>
    </w:p>
    <w:p>
      <w:pPr>
        <w:spacing w:beforeLines="50" w:line="360" w:lineRule="auto"/>
        <w:rPr>
          <w:rFonts w:ascii="宋体" w:hAnsi="宋体"/>
          <w:b/>
          <w:szCs w:val="21"/>
        </w:rPr>
      </w:pPr>
      <w:r>
        <w:rPr>
          <w:rFonts w:hint="eastAsia" w:ascii="宋体" w:hAnsi="宋体"/>
          <w:b/>
          <w:szCs w:val="21"/>
        </w:rPr>
        <w:t>1 适用范围</w:t>
      </w:r>
    </w:p>
    <w:p>
      <w:pPr>
        <w:snapToGrid w:val="0"/>
        <w:spacing w:line="460" w:lineRule="exact"/>
        <w:ind w:firstLine="403" w:firstLineChars="192"/>
        <w:rPr>
          <w:rFonts w:ascii="宋体" w:hAnsi="宋体" w:cs="Sim Sun"/>
          <w:kern w:val="0"/>
          <w:szCs w:val="21"/>
        </w:rPr>
      </w:pPr>
      <w:r>
        <w:rPr>
          <w:rFonts w:hint="eastAsia" w:ascii="宋体" w:hAnsi="宋体" w:cs="Sim Sun"/>
          <w:kern w:val="0"/>
          <w:szCs w:val="21"/>
        </w:rPr>
        <w:t>本细则适用于广东省床上用品产品质量监督抽查。本细则内容包括产品分类、术语和定义、企业产品生产规模划分、检验依据、抽样、检验要求、判定原则及异议处理。</w:t>
      </w:r>
    </w:p>
    <w:p>
      <w:pPr>
        <w:spacing w:beforeLines="50" w:line="360" w:lineRule="auto"/>
        <w:rPr>
          <w:rFonts w:ascii="宋体" w:hAnsi="宋体"/>
          <w:b/>
          <w:szCs w:val="21"/>
        </w:rPr>
      </w:pPr>
      <w:r>
        <w:rPr>
          <w:rFonts w:hint="eastAsia" w:ascii="宋体" w:hAnsi="宋体"/>
          <w:b/>
          <w:szCs w:val="21"/>
        </w:rPr>
        <w:t>2 产品分类</w:t>
      </w:r>
    </w:p>
    <w:p>
      <w:pPr>
        <w:spacing w:beforeLines="50" w:line="360" w:lineRule="auto"/>
        <w:rPr>
          <w:rFonts w:ascii="宋体" w:hAnsi="宋体"/>
          <w:b/>
          <w:szCs w:val="21"/>
        </w:rPr>
      </w:pPr>
      <w:r>
        <w:rPr>
          <w:rFonts w:hint="eastAsia" w:ascii="宋体" w:hAnsi="宋体"/>
          <w:b/>
          <w:szCs w:val="21"/>
        </w:rPr>
        <w:t>2.1 产品分类及代码</w:t>
      </w:r>
    </w:p>
    <w:p>
      <w:pPr>
        <w:spacing w:before="240" w:line="360" w:lineRule="auto"/>
        <w:ind w:firstLine="420" w:firstLineChars="200"/>
        <w:rPr>
          <w:rFonts w:ascii="宋体" w:hAnsi="宋体" w:cs="Sim Sun"/>
          <w:color w:val="000000"/>
          <w:kern w:val="0"/>
          <w:szCs w:val="21"/>
        </w:rPr>
      </w:pPr>
      <w:r>
        <w:rPr>
          <w:rFonts w:hint="eastAsia" w:ascii="宋体" w:hAnsi="宋体" w:cs="Sim Sun"/>
          <w:color w:val="000000"/>
          <w:kern w:val="0"/>
          <w:szCs w:val="21"/>
        </w:rPr>
        <w:t>产品分类及代码见表1。</w:t>
      </w:r>
    </w:p>
    <w:p>
      <w:pPr>
        <w:spacing w:line="440" w:lineRule="exact"/>
        <w:jc w:val="center"/>
        <w:rPr>
          <w:rFonts w:ascii="宋体" w:hAnsi="宋体" w:cs="Sim Sun"/>
          <w:b/>
          <w:kern w:val="0"/>
          <w:sz w:val="21"/>
          <w:szCs w:val="21"/>
        </w:rPr>
      </w:pPr>
      <w:r>
        <w:rPr>
          <w:rFonts w:hint="eastAsia" w:ascii="宋体" w:hAnsi="宋体" w:cs="Sim Sun"/>
          <w:b/>
          <w:kern w:val="0"/>
          <w:sz w:val="21"/>
          <w:szCs w:val="21"/>
        </w:rPr>
        <w:t>表1　产品分类及代码</w:t>
      </w:r>
    </w:p>
    <w:tbl>
      <w:tblPr>
        <w:tblStyle w:val="5"/>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2195" w:type="dxa"/>
            <w:vAlign w:val="center"/>
          </w:tcPr>
          <w:p>
            <w:pPr>
              <w:spacing w:line="320" w:lineRule="exact"/>
              <w:jc w:val="center"/>
              <w:rPr>
                <w:rFonts w:ascii="宋体"/>
                <w:b/>
                <w:bCs/>
                <w:kern w:val="0"/>
                <w:sz w:val="21"/>
                <w:szCs w:val="21"/>
              </w:rPr>
            </w:pPr>
            <w:r>
              <w:rPr>
                <w:rFonts w:hint="eastAsia" w:ascii="宋体" w:hAnsi="宋体" w:cs="宋体"/>
                <w:b/>
                <w:bCs/>
                <w:kern w:val="0"/>
                <w:sz w:val="21"/>
                <w:szCs w:val="21"/>
              </w:rPr>
              <w:t>产品分类</w:t>
            </w:r>
          </w:p>
        </w:tc>
        <w:tc>
          <w:tcPr>
            <w:tcW w:w="2195" w:type="dxa"/>
            <w:vAlign w:val="center"/>
          </w:tcPr>
          <w:p>
            <w:pPr>
              <w:spacing w:line="320" w:lineRule="exact"/>
              <w:jc w:val="center"/>
              <w:rPr>
                <w:rFonts w:ascii="宋体"/>
                <w:b/>
                <w:bCs/>
                <w:kern w:val="0"/>
                <w:sz w:val="21"/>
                <w:szCs w:val="21"/>
              </w:rPr>
            </w:pPr>
            <w:r>
              <w:rPr>
                <w:rFonts w:hint="eastAsia" w:ascii="宋体" w:hAnsi="宋体" w:cs="宋体"/>
                <w:b/>
                <w:bCs/>
                <w:kern w:val="0"/>
                <w:sz w:val="21"/>
                <w:szCs w:val="21"/>
              </w:rPr>
              <w:t>一级分类</w:t>
            </w:r>
          </w:p>
        </w:tc>
        <w:tc>
          <w:tcPr>
            <w:tcW w:w="2195" w:type="dxa"/>
            <w:vAlign w:val="center"/>
          </w:tcPr>
          <w:p>
            <w:pPr>
              <w:spacing w:line="320" w:lineRule="exact"/>
              <w:jc w:val="center"/>
              <w:rPr>
                <w:rFonts w:ascii="宋体"/>
                <w:b/>
                <w:bCs/>
                <w:kern w:val="0"/>
                <w:sz w:val="21"/>
                <w:szCs w:val="21"/>
              </w:rPr>
            </w:pPr>
            <w:r>
              <w:rPr>
                <w:rFonts w:hint="eastAsia" w:ascii="宋体" w:hAnsi="宋体" w:cs="宋体"/>
                <w:b/>
                <w:bCs/>
                <w:kern w:val="0"/>
                <w:sz w:val="21"/>
                <w:szCs w:val="21"/>
              </w:rPr>
              <w:t>二级分类</w:t>
            </w:r>
          </w:p>
        </w:tc>
        <w:tc>
          <w:tcPr>
            <w:tcW w:w="2195" w:type="dxa"/>
            <w:vAlign w:val="center"/>
          </w:tcPr>
          <w:p>
            <w:pPr>
              <w:spacing w:line="320" w:lineRule="exact"/>
              <w:jc w:val="center"/>
              <w:rPr>
                <w:rFonts w:ascii="宋体"/>
                <w:b/>
                <w:bCs/>
                <w:kern w:val="0"/>
                <w:sz w:val="21"/>
                <w:szCs w:val="21"/>
              </w:rPr>
            </w:pPr>
            <w:r>
              <w:rPr>
                <w:rFonts w:hint="eastAsia" w:ascii="宋体" w:hAnsi="宋体" w:cs="宋体"/>
                <w:b/>
                <w:bCs/>
                <w:kern w:val="0"/>
                <w:sz w:val="21"/>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9" w:hRule="atLeast"/>
          <w:jc w:val="center"/>
        </w:trPr>
        <w:tc>
          <w:tcPr>
            <w:tcW w:w="2195" w:type="dxa"/>
            <w:vAlign w:val="center"/>
          </w:tcPr>
          <w:p>
            <w:pPr>
              <w:spacing w:line="320" w:lineRule="exact"/>
              <w:jc w:val="center"/>
              <w:rPr>
                <w:rFonts w:ascii="宋体"/>
                <w:kern w:val="0"/>
                <w:sz w:val="21"/>
                <w:szCs w:val="21"/>
              </w:rPr>
            </w:pPr>
            <w:r>
              <w:rPr>
                <w:rFonts w:hint="eastAsia" w:ascii="宋体" w:hAnsi="宋体" w:cs="宋体"/>
                <w:kern w:val="0"/>
                <w:sz w:val="21"/>
                <w:szCs w:val="21"/>
              </w:rPr>
              <w:t>分类代码</w:t>
            </w:r>
          </w:p>
        </w:tc>
        <w:tc>
          <w:tcPr>
            <w:tcW w:w="2195" w:type="dxa"/>
            <w:vAlign w:val="center"/>
          </w:tcPr>
          <w:p>
            <w:pPr>
              <w:spacing w:line="320" w:lineRule="exact"/>
              <w:jc w:val="center"/>
              <w:rPr>
                <w:rFonts w:ascii="宋体" w:hAnsi="宋体" w:cs="宋体"/>
                <w:kern w:val="0"/>
                <w:sz w:val="21"/>
                <w:szCs w:val="21"/>
              </w:rPr>
            </w:pPr>
            <w:r>
              <w:rPr>
                <w:rFonts w:hint="eastAsia" w:ascii="宋体" w:hAnsi="宋体" w:cs="宋体"/>
                <w:kern w:val="0"/>
                <w:sz w:val="21"/>
                <w:szCs w:val="21"/>
              </w:rPr>
              <w:t>1</w:t>
            </w:r>
          </w:p>
        </w:tc>
        <w:tc>
          <w:tcPr>
            <w:tcW w:w="2195" w:type="dxa"/>
            <w:vAlign w:val="center"/>
          </w:tcPr>
          <w:p>
            <w:pPr>
              <w:spacing w:line="320" w:lineRule="exact"/>
              <w:jc w:val="center"/>
              <w:rPr>
                <w:rFonts w:ascii="宋体"/>
                <w:kern w:val="0"/>
                <w:sz w:val="21"/>
                <w:szCs w:val="21"/>
              </w:rPr>
            </w:pPr>
            <w:r>
              <w:rPr>
                <w:rFonts w:hint="eastAsia" w:ascii="宋体" w:hAnsi="宋体" w:cs="宋体"/>
                <w:kern w:val="0"/>
                <w:sz w:val="21"/>
                <w:szCs w:val="21"/>
              </w:rPr>
              <w:t>1</w:t>
            </w:r>
            <w:r>
              <w:rPr>
                <w:rFonts w:ascii="宋体" w:hAnsi="宋体" w:cs="宋体"/>
                <w:kern w:val="0"/>
                <w:sz w:val="21"/>
                <w:szCs w:val="21"/>
              </w:rPr>
              <w:t>0</w:t>
            </w:r>
            <w:r>
              <w:rPr>
                <w:rFonts w:hint="eastAsia" w:ascii="宋体" w:hAnsi="宋体" w:cs="宋体"/>
                <w:kern w:val="0"/>
                <w:sz w:val="21"/>
                <w:szCs w:val="21"/>
              </w:rPr>
              <w:t>1</w:t>
            </w:r>
          </w:p>
        </w:tc>
        <w:tc>
          <w:tcPr>
            <w:tcW w:w="2195" w:type="dxa"/>
            <w:vAlign w:val="center"/>
          </w:tcPr>
          <w:p>
            <w:pPr>
              <w:spacing w:line="320" w:lineRule="exact"/>
              <w:jc w:val="center"/>
              <w:rPr>
                <w:rFonts w:ascii="宋体"/>
                <w:kern w:val="0"/>
                <w:sz w:val="21"/>
                <w:szCs w:val="21"/>
              </w:rPr>
            </w:pPr>
            <w:r>
              <w:rPr>
                <w:rFonts w:hint="eastAsia" w:ascii="宋体" w:hAnsi="宋体" w:cs="宋体"/>
                <w:kern w:val="0"/>
                <w:sz w:val="21"/>
                <w:szCs w:val="21"/>
              </w:rPr>
              <w:t>1</w:t>
            </w:r>
            <w:r>
              <w:rPr>
                <w:rFonts w:ascii="宋体" w:hAnsi="宋体" w:cs="宋体"/>
                <w:kern w:val="0"/>
                <w:sz w:val="21"/>
                <w:szCs w:val="21"/>
              </w:rPr>
              <w:t>0</w:t>
            </w:r>
            <w:r>
              <w:rPr>
                <w:rFonts w:hint="eastAsia" w:ascii="宋体" w:hAnsi="宋体" w:cs="宋体"/>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2195" w:type="dxa"/>
            <w:vAlign w:val="center"/>
          </w:tcPr>
          <w:p>
            <w:pPr>
              <w:pStyle w:val="3"/>
              <w:pBdr>
                <w:bottom w:val="none" w:color="auto" w:sz="0" w:space="0"/>
              </w:pBdr>
              <w:tabs>
                <w:tab w:val="clear" w:pos="4153"/>
                <w:tab w:val="clear" w:pos="8306"/>
              </w:tabs>
              <w:snapToGrid/>
              <w:spacing w:line="320" w:lineRule="exact"/>
              <w:rPr>
                <w:rFonts w:ascii="宋体"/>
                <w:kern w:val="0"/>
                <w:sz w:val="21"/>
                <w:szCs w:val="21"/>
              </w:rPr>
            </w:pPr>
            <w:r>
              <w:rPr>
                <w:rFonts w:hint="eastAsia" w:ascii="宋体" w:hAnsi="宋体" w:cs="宋体"/>
                <w:kern w:val="0"/>
                <w:sz w:val="21"/>
                <w:szCs w:val="21"/>
              </w:rPr>
              <w:t>分类名称</w:t>
            </w:r>
          </w:p>
        </w:tc>
        <w:tc>
          <w:tcPr>
            <w:tcW w:w="2195" w:type="dxa"/>
            <w:vAlign w:val="center"/>
          </w:tcPr>
          <w:p>
            <w:pPr>
              <w:spacing w:line="320" w:lineRule="exact"/>
              <w:jc w:val="center"/>
              <w:rPr>
                <w:rFonts w:ascii="宋体"/>
                <w:kern w:val="0"/>
                <w:sz w:val="21"/>
                <w:szCs w:val="21"/>
              </w:rPr>
            </w:pPr>
            <w:r>
              <w:rPr>
                <w:rFonts w:hint="eastAsia" w:ascii="宋体" w:hAnsi="宋体" w:cs="宋体"/>
                <w:kern w:val="0"/>
                <w:sz w:val="21"/>
                <w:szCs w:val="21"/>
              </w:rPr>
              <w:t>日用及纺织品</w:t>
            </w:r>
          </w:p>
        </w:tc>
        <w:tc>
          <w:tcPr>
            <w:tcW w:w="2195" w:type="dxa"/>
            <w:vAlign w:val="center"/>
          </w:tcPr>
          <w:p>
            <w:pPr>
              <w:spacing w:line="320" w:lineRule="exact"/>
              <w:jc w:val="center"/>
              <w:rPr>
                <w:rFonts w:ascii="宋体"/>
                <w:kern w:val="0"/>
                <w:sz w:val="21"/>
                <w:szCs w:val="21"/>
              </w:rPr>
            </w:pPr>
            <w:r>
              <w:rPr>
                <w:rFonts w:hint="eastAsia" w:ascii="宋体" w:hAnsi="宋体" w:cs="宋体"/>
                <w:kern w:val="0"/>
                <w:sz w:val="21"/>
                <w:szCs w:val="21"/>
              </w:rPr>
              <w:t>纺织品</w:t>
            </w:r>
          </w:p>
        </w:tc>
        <w:tc>
          <w:tcPr>
            <w:tcW w:w="2195" w:type="dxa"/>
            <w:vAlign w:val="center"/>
          </w:tcPr>
          <w:p>
            <w:pPr>
              <w:spacing w:line="320" w:lineRule="exact"/>
              <w:jc w:val="center"/>
              <w:rPr>
                <w:rFonts w:ascii="宋体"/>
                <w:kern w:val="0"/>
                <w:sz w:val="21"/>
                <w:szCs w:val="21"/>
              </w:rPr>
            </w:pPr>
            <w:r>
              <w:rPr>
                <w:rFonts w:hint="eastAsia" w:ascii="宋体" w:hAnsi="宋体" w:cs="宋体"/>
                <w:kern w:val="0"/>
                <w:sz w:val="21"/>
                <w:szCs w:val="21"/>
              </w:rPr>
              <w:t>床上用品</w:t>
            </w:r>
          </w:p>
        </w:tc>
      </w:tr>
    </w:tbl>
    <w:p>
      <w:pPr>
        <w:spacing w:line="460" w:lineRule="exact"/>
        <w:rPr>
          <w:rFonts w:ascii="宋体" w:hAnsi="宋体" w:cs="Sim Sun"/>
          <w:b/>
          <w:kern w:val="0"/>
          <w:szCs w:val="21"/>
        </w:rPr>
      </w:pPr>
      <w:r>
        <w:rPr>
          <w:rFonts w:hint="eastAsia" w:ascii="宋体" w:hAnsi="宋体" w:cs="Sim Sun"/>
          <w:b/>
          <w:kern w:val="0"/>
          <w:szCs w:val="21"/>
        </w:rPr>
        <w:t>2.2 产品种类</w:t>
      </w:r>
    </w:p>
    <w:p>
      <w:pPr>
        <w:snapToGrid w:val="0"/>
        <w:spacing w:line="460" w:lineRule="exact"/>
        <w:ind w:firstLine="403" w:firstLineChars="192"/>
        <w:rPr>
          <w:rFonts w:ascii="宋体" w:hAnsi="宋体" w:cs="Sim Sun"/>
          <w:kern w:val="0"/>
          <w:szCs w:val="21"/>
        </w:rPr>
      </w:pPr>
      <w:r>
        <w:rPr>
          <w:rFonts w:hint="eastAsia" w:ascii="宋体" w:hAnsi="宋体" w:cs="Sim Sun"/>
          <w:kern w:val="0"/>
          <w:szCs w:val="21"/>
        </w:rPr>
        <w:t>床上用品，包括无填充物床上用品（床单、被套、床笠、床罩、枕套）和有填充物床上用品（以棉花、羊毛、蚕丝、化纤为填充物的被类、枕垫类产品及绗缝制品）。本次抽查不包括儿童及婴幼儿床上用品产品。</w:t>
      </w:r>
    </w:p>
    <w:p>
      <w:pPr>
        <w:snapToGrid w:val="0"/>
        <w:spacing w:line="460" w:lineRule="exact"/>
        <w:ind w:firstLine="403" w:firstLineChars="192"/>
        <w:rPr>
          <w:rFonts w:ascii="宋体" w:hAnsi="宋体" w:cs="Sim Sun"/>
          <w:kern w:val="0"/>
          <w:szCs w:val="21"/>
        </w:rPr>
      </w:pPr>
      <w:r>
        <w:rPr>
          <w:rFonts w:hint="eastAsia" w:ascii="宋体" w:hAnsi="宋体" w:cs="Sim Sun"/>
          <w:kern w:val="0"/>
          <w:szCs w:val="21"/>
        </w:rPr>
        <w:t>本次抽查不抽取填充物为羽绒的床上用品产品。</w:t>
      </w:r>
      <w:r>
        <w:rPr>
          <w:rFonts w:hint="eastAsia" w:ascii="宋体" w:hAnsi="宋体"/>
          <w:color w:val="000000"/>
          <w:szCs w:val="21"/>
        </w:rPr>
        <w:t xml:space="preserve"> </w:t>
      </w:r>
    </w:p>
    <w:p>
      <w:pPr>
        <w:spacing w:beforeLines="50" w:line="360" w:lineRule="auto"/>
        <w:rPr>
          <w:rFonts w:ascii="宋体" w:hAnsi="宋体"/>
          <w:b/>
          <w:szCs w:val="21"/>
        </w:rPr>
      </w:pPr>
      <w:bookmarkStart w:id="0" w:name="OLE_LINK2"/>
      <w:r>
        <w:rPr>
          <w:rFonts w:hint="eastAsia" w:ascii="宋体" w:hAnsi="宋体"/>
          <w:b/>
          <w:szCs w:val="21"/>
        </w:rPr>
        <w:t>3　术语和定义</w:t>
      </w:r>
    </w:p>
    <w:p>
      <w:pPr>
        <w:snapToGrid w:val="0"/>
        <w:spacing w:before="240" w:line="360" w:lineRule="auto"/>
        <w:ind w:firstLine="420" w:firstLineChars="200"/>
        <w:rPr>
          <w:rFonts w:ascii="宋体" w:hAnsi="宋体"/>
          <w:color w:val="000000"/>
          <w:szCs w:val="21"/>
        </w:rPr>
      </w:pPr>
      <w:r>
        <w:rPr>
          <w:rFonts w:hint="eastAsia" w:ascii="宋体" w:hAnsi="宋体"/>
          <w:color w:val="000000"/>
          <w:szCs w:val="21"/>
        </w:rPr>
        <w:t>本细则中未列出的术语和定义同相关引用标准。</w:t>
      </w:r>
    </w:p>
    <w:p>
      <w:pPr>
        <w:spacing w:beforeLines="50" w:line="360" w:lineRule="auto"/>
        <w:rPr>
          <w:rFonts w:ascii="宋体" w:hAnsi="宋体"/>
          <w:b/>
          <w:szCs w:val="21"/>
        </w:rPr>
      </w:pPr>
      <w:r>
        <w:rPr>
          <w:rFonts w:hint="eastAsia" w:ascii="宋体" w:hAnsi="宋体"/>
          <w:b/>
          <w:szCs w:val="21"/>
        </w:rPr>
        <w:t>4  企业产品生产规模划分</w:t>
      </w:r>
    </w:p>
    <w:p>
      <w:pPr>
        <w:spacing w:beforeLines="50" w:line="360" w:lineRule="auto"/>
        <w:ind w:firstLine="420" w:firstLineChars="200"/>
        <w:rPr>
          <w:rFonts w:ascii="宋体" w:hAnsi="宋体" w:cs="Sim Sun"/>
          <w:kern w:val="0"/>
          <w:szCs w:val="21"/>
        </w:rPr>
      </w:pPr>
      <w:r>
        <w:rPr>
          <w:rFonts w:hint="eastAsia" w:ascii="宋体" w:hAnsi="宋体" w:cs="Sim Sun"/>
          <w:kern w:val="0"/>
          <w:szCs w:val="21"/>
        </w:rPr>
        <w:t>根据产品行业的实际情况，生产企业规模以产品年销售额为标准划分为大、中、小型企业，见表2。</w:t>
      </w:r>
    </w:p>
    <w:p>
      <w:pPr>
        <w:spacing w:beforeLines="50"/>
        <w:ind w:firstLine="422" w:firstLineChars="200"/>
        <w:jc w:val="center"/>
        <w:rPr>
          <w:rFonts w:ascii="宋体" w:hAnsi="宋体" w:cs="Sim Sun"/>
          <w:b/>
          <w:kern w:val="0"/>
          <w:sz w:val="21"/>
          <w:szCs w:val="21"/>
        </w:rPr>
      </w:pPr>
      <w:r>
        <w:rPr>
          <w:rFonts w:hint="eastAsia" w:ascii="宋体" w:hAnsi="宋体" w:cs="Sim Sun"/>
          <w:b/>
          <w:kern w:val="0"/>
          <w:sz w:val="21"/>
          <w:szCs w:val="21"/>
        </w:rPr>
        <w:t>表2 企业规模划分</w:t>
      </w:r>
    </w:p>
    <w:tbl>
      <w:tblPr>
        <w:tblStyle w:val="5"/>
        <w:tblW w:w="8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4"/>
        <w:gridCol w:w="2185"/>
        <w:gridCol w:w="2186"/>
        <w:gridCol w:w="2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94" w:hRule="atLeast"/>
          <w:jc w:val="center"/>
        </w:trPr>
        <w:tc>
          <w:tcPr>
            <w:tcW w:w="2184"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企业规模</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大型企业</w:t>
            </w:r>
          </w:p>
        </w:tc>
        <w:tc>
          <w:tcPr>
            <w:tcW w:w="2186"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中型企业</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b/>
                <w:bCs/>
                <w:kern w:val="0"/>
                <w:sz w:val="21"/>
                <w:szCs w:val="21"/>
              </w:rPr>
            </w:pPr>
            <w:r>
              <w:rPr>
                <w:rFonts w:hint="eastAsia" w:ascii="宋体" w:hAnsi="宋体" w:cs="Sim Sun"/>
                <w:b/>
                <w:bCs/>
                <w:kern w:val="0"/>
                <w:sz w:val="21"/>
                <w:szCs w:val="21"/>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7" w:hRule="atLeast"/>
          <w:jc w:val="center"/>
        </w:trPr>
        <w:tc>
          <w:tcPr>
            <w:tcW w:w="2184"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年销售额/万元</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≥30000</w:t>
            </w:r>
          </w:p>
        </w:tc>
        <w:tc>
          <w:tcPr>
            <w:tcW w:w="2186"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≥3000且＜30000</w:t>
            </w:r>
          </w:p>
        </w:tc>
        <w:tc>
          <w:tcPr>
            <w:tcW w:w="2185" w:type="dxa"/>
            <w:tcBorders>
              <w:top w:val="single" w:color="000000" w:sz="4" w:space="0"/>
              <w:left w:val="single" w:color="000000" w:sz="4" w:space="0"/>
              <w:bottom w:val="single" w:color="000000" w:sz="4" w:space="0"/>
              <w:right w:val="single" w:color="000000" w:sz="4" w:space="0"/>
            </w:tcBorders>
          </w:tcPr>
          <w:p>
            <w:pPr>
              <w:spacing w:beforeLines="50"/>
              <w:jc w:val="center"/>
              <w:rPr>
                <w:rFonts w:ascii="宋体" w:hAnsi="宋体" w:cs="Sim Sun"/>
                <w:kern w:val="0"/>
                <w:sz w:val="21"/>
                <w:szCs w:val="21"/>
              </w:rPr>
            </w:pPr>
            <w:r>
              <w:rPr>
                <w:rFonts w:hint="eastAsia" w:ascii="宋体" w:hAnsi="宋体" w:cs="Sim Sun"/>
                <w:kern w:val="0"/>
                <w:sz w:val="21"/>
                <w:szCs w:val="21"/>
              </w:rPr>
              <w:t>＜3000</w:t>
            </w:r>
          </w:p>
        </w:tc>
      </w:tr>
    </w:tbl>
    <w:p>
      <w:pPr>
        <w:snapToGrid w:val="0"/>
        <w:spacing w:beforeLines="50" w:line="360" w:lineRule="auto"/>
        <w:ind w:firstLine="540" w:firstLineChars="300"/>
        <w:rPr>
          <w:rFonts w:ascii="宋体" w:hAnsi="宋体" w:cs="Sim Sun"/>
          <w:kern w:val="0"/>
          <w:sz w:val="18"/>
          <w:szCs w:val="18"/>
        </w:rPr>
      </w:pPr>
      <w:r>
        <w:rPr>
          <w:rFonts w:hint="eastAsia" w:ascii="宋体" w:hAnsi="宋体" w:cs="Sim Sun"/>
          <w:kern w:val="0"/>
          <w:sz w:val="18"/>
          <w:szCs w:val="18"/>
        </w:rPr>
        <w:t>注：年销售额包括产品的内销和外销总额。</w:t>
      </w:r>
    </w:p>
    <w:p>
      <w:pPr>
        <w:snapToGrid w:val="0"/>
        <w:spacing w:beforeLines="50" w:line="360" w:lineRule="auto"/>
        <w:rPr>
          <w:rFonts w:ascii="宋体" w:hAnsi="宋体" w:cs="Sim Sun"/>
          <w:b/>
          <w:kern w:val="0"/>
          <w:szCs w:val="21"/>
        </w:rPr>
      </w:pPr>
      <w:r>
        <w:rPr>
          <w:rFonts w:hint="eastAsia" w:ascii="宋体" w:hAnsi="宋体" w:cs="Sim Sun"/>
          <w:b/>
          <w:kern w:val="0"/>
          <w:szCs w:val="21"/>
        </w:rPr>
        <w:t>5  检验依据</w:t>
      </w:r>
    </w:p>
    <w:p>
      <w:pPr>
        <w:snapToGrid w:val="0"/>
        <w:spacing w:beforeLines="50" w:line="360" w:lineRule="auto"/>
        <w:ind w:firstLine="420" w:firstLineChars="200"/>
        <w:rPr>
          <w:rFonts w:ascii="宋体" w:hAnsi="宋体" w:cs="Sim Sun"/>
          <w:b/>
          <w:kern w:val="0"/>
          <w:szCs w:val="21"/>
        </w:rPr>
      </w:pPr>
      <w:r>
        <w:rPr>
          <w:rFonts w:hint="eastAsia" w:ascii="宋体" w:hAnsi="宋体"/>
          <w:szCs w:val="21"/>
        </w:rPr>
        <w:t>凡是注日期的引用文件，仅注日期的版本适用于本细则。凡是不注日期的引用文件，其最新版本（包括所有的修改单）适用于本细则。</w:t>
      </w:r>
    </w:p>
    <w:p>
      <w:pPr>
        <w:spacing w:line="360" w:lineRule="auto"/>
        <w:ind w:firstLine="420" w:firstLineChars="200"/>
        <w:rPr>
          <w:rFonts w:ascii="宋体" w:hAnsi="宋体"/>
          <w:szCs w:val="21"/>
        </w:rPr>
      </w:pPr>
      <w:r>
        <w:rPr>
          <w:rFonts w:hint="eastAsia" w:ascii="宋体" w:hAnsi="宋体"/>
          <w:szCs w:val="21"/>
        </w:rPr>
        <w:t>GB 18401-2010    国家纺织产品基本安全技术规范</w:t>
      </w:r>
    </w:p>
    <w:p>
      <w:pPr>
        <w:spacing w:line="360" w:lineRule="auto"/>
        <w:ind w:firstLine="420" w:firstLineChars="200"/>
        <w:rPr>
          <w:rFonts w:ascii="宋体" w:hAnsi="宋体"/>
          <w:szCs w:val="21"/>
        </w:rPr>
      </w:pPr>
      <w:r>
        <w:rPr>
          <w:rFonts w:hint="eastAsia" w:ascii="宋体" w:hAnsi="宋体"/>
          <w:szCs w:val="21"/>
        </w:rPr>
        <w:t xml:space="preserve">GB 18383-2007    絮用纤维制品通用技术要求      </w:t>
      </w:r>
    </w:p>
    <w:p>
      <w:pPr>
        <w:snapToGrid w:val="0"/>
        <w:spacing w:line="460" w:lineRule="exact"/>
        <w:ind w:firstLine="420" w:firstLineChars="200"/>
        <w:rPr>
          <w:rFonts w:ascii="宋体" w:hAnsi="宋体"/>
          <w:szCs w:val="21"/>
        </w:rPr>
      </w:pPr>
      <w:r>
        <w:rPr>
          <w:rFonts w:hint="eastAsia" w:ascii="宋体" w:hAnsi="宋体"/>
          <w:szCs w:val="21"/>
        </w:rPr>
        <w:t>GB/T 29862-2013  纺织品 纤维含量的标识</w:t>
      </w:r>
    </w:p>
    <w:p>
      <w:pPr>
        <w:snapToGrid w:val="0"/>
        <w:spacing w:line="460" w:lineRule="exact"/>
        <w:ind w:firstLine="420" w:firstLineChars="200"/>
        <w:rPr>
          <w:rFonts w:ascii="宋体" w:hAnsi="宋体"/>
          <w:szCs w:val="21"/>
        </w:rPr>
      </w:pPr>
      <w:r>
        <w:rPr>
          <w:rFonts w:hint="eastAsia" w:ascii="宋体" w:hAnsi="宋体"/>
          <w:szCs w:val="21"/>
        </w:rPr>
        <w:t>GB/T 22796-2009  被、被套</w:t>
      </w:r>
    </w:p>
    <w:p>
      <w:pPr>
        <w:snapToGrid w:val="0"/>
        <w:spacing w:line="460" w:lineRule="exact"/>
        <w:ind w:firstLine="420" w:firstLineChars="200"/>
        <w:rPr>
          <w:rFonts w:ascii="宋体" w:hAnsi="宋体"/>
          <w:szCs w:val="21"/>
        </w:rPr>
      </w:pPr>
      <w:r>
        <w:rPr>
          <w:rFonts w:hint="eastAsia" w:ascii="宋体" w:hAnsi="宋体"/>
          <w:szCs w:val="21"/>
        </w:rPr>
        <w:t>GB/T 22797-2009  床单</w:t>
      </w:r>
    </w:p>
    <w:p>
      <w:pPr>
        <w:snapToGrid w:val="0"/>
        <w:spacing w:line="460" w:lineRule="exact"/>
        <w:ind w:firstLine="420" w:firstLineChars="200"/>
        <w:rPr>
          <w:rFonts w:ascii="宋体" w:hAnsi="宋体"/>
          <w:szCs w:val="21"/>
        </w:rPr>
      </w:pPr>
      <w:r>
        <w:rPr>
          <w:rFonts w:ascii="宋体" w:hAnsi="宋体"/>
          <w:szCs w:val="21"/>
        </w:rPr>
        <w:t>GB/T 22800-2009</w:t>
      </w:r>
      <w:r>
        <w:rPr>
          <w:rFonts w:hint="eastAsia" w:ascii="宋体" w:hAnsi="宋体"/>
          <w:szCs w:val="21"/>
        </w:rPr>
        <w:t xml:space="preserve">  星级旅游饭店用纺织品</w:t>
      </w:r>
    </w:p>
    <w:p>
      <w:pPr>
        <w:snapToGrid w:val="0"/>
        <w:spacing w:line="460" w:lineRule="exact"/>
        <w:ind w:firstLine="420" w:firstLineChars="200"/>
        <w:rPr>
          <w:rFonts w:ascii="宋体" w:hAnsi="宋体"/>
          <w:szCs w:val="21"/>
        </w:rPr>
      </w:pPr>
      <w:r>
        <w:rPr>
          <w:rFonts w:hint="eastAsia" w:ascii="宋体" w:hAnsi="宋体"/>
          <w:szCs w:val="21"/>
        </w:rPr>
        <w:t>GB/T 22843-2009  枕、垫类产品</w:t>
      </w:r>
    </w:p>
    <w:p>
      <w:pPr>
        <w:snapToGrid w:val="0"/>
        <w:spacing w:line="460" w:lineRule="exact"/>
        <w:ind w:firstLine="420" w:firstLineChars="200"/>
        <w:rPr>
          <w:rFonts w:ascii="宋体" w:hAnsi="宋体"/>
          <w:szCs w:val="21"/>
        </w:rPr>
      </w:pPr>
      <w:r>
        <w:rPr>
          <w:rFonts w:hint="eastAsia" w:ascii="宋体" w:hAnsi="宋体"/>
          <w:szCs w:val="21"/>
        </w:rPr>
        <w:t>GB/T 22844-2009  配套床上用品</w:t>
      </w:r>
    </w:p>
    <w:p>
      <w:pPr>
        <w:snapToGrid w:val="0"/>
        <w:spacing w:line="460" w:lineRule="exact"/>
        <w:ind w:firstLine="420" w:firstLineChars="200"/>
        <w:rPr>
          <w:rFonts w:ascii="宋体" w:hAnsi="宋体"/>
          <w:szCs w:val="21"/>
        </w:rPr>
      </w:pPr>
      <w:r>
        <w:rPr>
          <w:rFonts w:hint="eastAsia" w:ascii="宋体" w:hAnsi="宋体"/>
          <w:szCs w:val="21"/>
        </w:rPr>
        <w:t>GB/T 24252-2009  蚕丝被</w:t>
      </w:r>
    </w:p>
    <w:p>
      <w:pPr>
        <w:snapToGrid w:val="0"/>
        <w:spacing w:line="460" w:lineRule="exact"/>
        <w:ind w:firstLine="420" w:firstLineChars="200"/>
        <w:rPr>
          <w:rFonts w:ascii="宋体" w:hAnsi="宋体"/>
          <w:szCs w:val="21"/>
        </w:rPr>
      </w:pPr>
      <w:r>
        <w:rPr>
          <w:rFonts w:hint="eastAsia" w:ascii="宋体" w:hAnsi="宋体"/>
          <w:szCs w:val="21"/>
        </w:rPr>
        <w:t>FZ/T 34003-2011  亚麻床上用品</w:t>
      </w:r>
    </w:p>
    <w:p>
      <w:pPr>
        <w:snapToGrid w:val="0"/>
        <w:spacing w:line="460" w:lineRule="exact"/>
        <w:ind w:firstLine="420" w:firstLineChars="200"/>
        <w:rPr>
          <w:rFonts w:ascii="宋体" w:hAnsi="宋体" w:cs="宋体"/>
          <w:color w:val="000000"/>
          <w:kern w:val="0"/>
        </w:rPr>
      </w:pPr>
      <w:r>
        <w:rPr>
          <w:rFonts w:ascii="宋体" w:hAnsi="宋体" w:cs="宋体"/>
          <w:color w:val="000000"/>
          <w:kern w:val="0"/>
        </w:rPr>
        <w:t>FZ/T 81005-2017</w:t>
      </w:r>
      <w:r>
        <w:rPr>
          <w:rFonts w:hint="eastAsia" w:ascii="宋体" w:hAnsi="宋体" w:cs="宋体"/>
          <w:color w:val="000000"/>
          <w:kern w:val="0"/>
        </w:rPr>
        <w:t xml:space="preserve">  绗缝制品</w:t>
      </w:r>
    </w:p>
    <w:p>
      <w:pPr>
        <w:spacing w:line="360" w:lineRule="auto"/>
        <w:ind w:firstLine="420" w:firstLineChars="200"/>
        <w:rPr>
          <w:rFonts w:ascii="宋体" w:hAnsi="宋体" w:cs="宋体"/>
          <w:color w:val="000000"/>
          <w:kern w:val="0"/>
        </w:rPr>
      </w:pPr>
      <w:r>
        <w:rPr>
          <w:rFonts w:hint="eastAsia" w:ascii="宋体" w:hAnsi="宋体" w:cs="宋体"/>
          <w:color w:val="000000"/>
          <w:kern w:val="0"/>
        </w:rPr>
        <w:t>FZ/T 62026-2015  手工粗布床单</w:t>
      </w:r>
    </w:p>
    <w:p>
      <w:pPr>
        <w:spacing w:line="360" w:lineRule="auto"/>
        <w:ind w:firstLine="420" w:firstLineChars="200"/>
        <w:rPr>
          <w:rFonts w:ascii="宋体" w:hAnsi="宋体" w:cs="宋体"/>
          <w:color w:val="000000"/>
          <w:kern w:val="0"/>
        </w:rPr>
      </w:pPr>
      <w:r>
        <w:rPr>
          <w:rFonts w:hint="eastAsia" w:ascii="宋体" w:hAnsi="宋体" w:cs="宋体"/>
          <w:color w:val="000000"/>
          <w:kern w:val="0"/>
        </w:rPr>
        <w:t>FZ/T 62027-2015  磨毛面料床单</w:t>
      </w:r>
    </w:p>
    <w:p>
      <w:pPr>
        <w:spacing w:line="360" w:lineRule="auto"/>
        <w:ind w:firstLine="420" w:firstLineChars="200"/>
        <w:rPr>
          <w:rFonts w:ascii="宋体" w:hAnsi="宋体" w:cs="宋体"/>
          <w:color w:val="000000"/>
          <w:kern w:val="0"/>
        </w:rPr>
      </w:pPr>
      <w:r>
        <w:rPr>
          <w:rFonts w:hint="eastAsia" w:ascii="宋体" w:hAnsi="宋体" w:cs="宋体"/>
          <w:color w:val="000000"/>
          <w:kern w:val="0"/>
        </w:rPr>
        <w:t>FZ/T 62028-2015  针织床单</w:t>
      </w:r>
    </w:p>
    <w:p>
      <w:pPr>
        <w:spacing w:line="360" w:lineRule="auto"/>
        <w:ind w:firstLine="420" w:firstLineChars="200"/>
        <w:rPr>
          <w:rFonts w:ascii="宋体" w:hAnsi="宋体" w:cs="宋体"/>
          <w:color w:val="000000"/>
          <w:kern w:val="0"/>
        </w:rPr>
      </w:pPr>
      <w:r>
        <w:rPr>
          <w:rFonts w:hint="eastAsia" w:ascii="宋体" w:hAnsi="宋体" w:cs="宋体"/>
          <w:color w:val="000000"/>
          <w:kern w:val="0"/>
        </w:rPr>
        <w:t>FZ/T 62029-2015  手工粗布被套</w:t>
      </w:r>
    </w:p>
    <w:p>
      <w:pPr>
        <w:spacing w:line="360" w:lineRule="auto"/>
        <w:ind w:firstLine="420" w:firstLineChars="200"/>
        <w:rPr>
          <w:rFonts w:ascii="宋体" w:hAnsi="宋体" w:cs="宋体"/>
          <w:color w:val="000000"/>
          <w:kern w:val="0"/>
        </w:rPr>
      </w:pPr>
      <w:r>
        <w:rPr>
          <w:rFonts w:hint="eastAsia" w:ascii="宋体" w:hAnsi="宋体" w:cs="宋体"/>
          <w:color w:val="000000"/>
          <w:kern w:val="0"/>
        </w:rPr>
        <w:t>FZ/T 62030-2015  磨毛面料被套</w:t>
      </w:r>
    </w:p>
    <w:p>
      <w:pPr>
        <w:spacing w:line="360" w:lineRule="auto"/>
        <w:ind w:firstLine="420" w:firstLineChars="200"/>
        <w:rPr>
          <w:rFonts w:ascii="宋体" w:hAnsi="宋体" w:cs="宋体"/>
          <w:color w:val="000000"/>
          <w:kern w:val="0"/>
        </w:rPr>
      </w:pPr>
      <w:r>
        <w:rPr>
          <w:rFonts w:hint="eastAsia" w:ascii="宋体" w:hAnsi="宋体" w:cs="宋体"/>
          <w:color w:val="000000"/>
          <w:kern w:val="0"/>
        </w:rPr>
        <w:t>FZ/T 62031-2015  针织被套</w:t>
      </w:r>
    </w:p>
    <w:bookmarkEnd w:id="0"/>
    <w:p>
      <w:pPr>
        <w:spacing w:line="360" w:lineRule="auto"/>
        <w:ind w:firstLine="420" w:firstLineChars="200"/>
        <w:rPr>
          <w:snapToGrid w:val="0"/>
          <w:color w:val="000000"/>
        </w:rPr>
      </w:pPr>
      <w:r>
        <w:rPr>
          <w:rFonts w:hint="eastAsia"/>
          <w:snapToGrid w:val="0"/>
          <w:color w:val="000000"/>
        </w:rPr>
        <w:t>相关的法律法规、部门规章和规范</w:t>
      </w:r>
    </w:p>
    <w:p>
      <w:pPr>
        <w:spacing w:line="360" w:lineRule="auto"/>
        <w:ind w:firstLine="420" w:firstLineChars="200"/>
        <w:rPr>
          <w:snapToGrid w:val="0"/>
          <w:color w:val="000000"/>
        </w:rPr>
      </w:pPr>
      <w:r>
        <w:rPr>
          <w:rFonts w:hint="eastAsia"/>
          <w:snapToGrid w:val="0"/>
          <w:color w:val="000000"/>
        </w:rPr>
        <w:t>企业明示标准及产品明示质量要求</w:t>
      </w:r>
      <w:r>
        <w:rPr>
          <w:rFonts w:hint="eastAsia"/>
          <w:snapToGrid w:val="0"/>
          <w:color w:val="000000"/>
          <w:lang w:eastAsia="zh-CN"/>
        </w:rPr>
        <w:t>。</w:t>
      </w:r>
    </w:p>
    <w:p>
      <w:pPr>
        <w:snapToGrid w:val="0"/>
        <w:spacing w:beforeLines="50" w:line="360" w:lineRule="auto"/>
        <w:rPr>
          <w:rFonts w:ascii="宋体" w:hAnsi="宋体" w:cs="Sim Sun"/>
          <w:b/>
          <w:kern w:val="0"/>
          <w:szCs w:val="21"/>
        </w:rPr>
      </w:pPr>
      <w:r>
        <w:rPr>
          <w:rFonts w:hint="eastAsia" w:ascii="宋体" w:hAnsi="宋体" w:cs="Sim Sun"/>
          <w:b/>
          <w:kern w:val="0"/>
          <w:szCs w:val="21"/>
        </w:rPr>
        <w:t>6  抽样</w:t>
      </w:r>
    </w:p>
    <w:p>
      <w:pPr>
        <w:snapToGrid w:val="0"/>
        <w:spacing w:beforeLines="50" w:line="360" w:lineRule="auto"/>
        <w:rPr>
          <w:rFonts w:ascii="宋体" w:hAnsi="宋体"/>
          <w:b/>
          <w:szCs w:val="21"/>
        </w:rPr>
      </w:pPr>
      <w:r>
        <w:rPr>
          <w:rFonts w:hint="eastAsia" w:ascii="宋体" w:hAnsi="宋体"/>
          <w:b/>
          <w:szCs w:val="21"/>
        </w:rPr>
        <w:t>6.1  抽样型号或规格</w:t>
      </w:r>
    </w:p>
    <w:p>
      <w:pPr>
        <w:spacing w:beforeLines="50" w:line="360" w:lineRule="auto"/>
        <w:ind w:firstLine="396" w:firstLineChars="200"/>
        <w:rPr>
          <w:rFonts w:ascii="宋体" w:hAnsi="宋体"/>
          <w:spacing w:val="-6"/>
          <w:szCs w:val="21"/>
        </w:rPr>
      </w:pPr>
      <w:r>
        <w:rPr>
          <w:rFonts w:hint="eastAsia" w:ascii="宋体" w:hAnsi="宋体"/>
          <w:spacing w:val="-6"/>
          <w:szCs w:val="21"/>
        </w:rPr>
        <w:t>根据产品的销售单元抽取同一批次、</w:t>
      </w:r>
      <w:r>
        <w:rPr>
          <w:rFonts w:hint="eastAsia" w:ascii="宋体" w:hAnsi="宋体"/>
          <w:szCs w:val="21"/>
        </w:rPr>
        <w:t>相同款式（货/款号）、相同花型和相同颜色的</w:t>
      </w:r>
      <w:r>
        <w:rPr>
          <w:rFonts w:hint="eastAsia" w:ascii="宋体" w:hAnsi="宋体"/>
          <w:spacing w:val="-6"/>
          <w:szCs w:val="21"/>
        </w:rPr>
        <w:t>样品。</w:t>
      </w:r>
    </w:p>
    <w:p>
      <w:pPr>
        <w:snapToGrid w:val="0"/>
        <w:spacing w:beforeLines="50" w:line="360" w:lineRule="auto"/>
        <w:rPr>
          <w:rFonts w:ascii="宋体" w:hAnsi="宋体"/>
          <w:b/>
          <w:szCs w:val="21"/>
        </w:rPr>
      </w:pPr>
      <w:r>
        <w:rPr>
          <w:rFonts w:hint="eastAsia" w:ascii="宋体" w:hAnsi="宋体"/>
          <w:b/>
          <w:szCs w:val="21"/>
        </w:rPr>
        <w:t>6.2  抽样方法、基数及数量</w:t>
      </w:r>
    </w:p>
    <w:p>
      <w:pPr>
        <w:snapToGrid w:val="0"/>
        <w:spacing w:beforeLines="50" w:line="360" w:lineRule="auto"/>
        <w:rPr>
          <w:rFonts w:ascii="宋体" w:hAnsi="宋体"/>
          <w:b/>
          <w:szCs w:val="21"/>
        </w:rPr>
      </w:pPr>
      <w:r>
        <w:rPr>
          <w:rFonts w:hint="eastAsia" w:ascii="宋体" w:hAnsi="宋体"/>
          <w:b/>
          <w:szCs w:val="21"/>
        </w:rPr>
        <w:t>6.2.1 抽样方法</w:t>
      </w:r>
    </w:p>
    <w:p>
      <w:pPr>
        <w:spacing w:line="360" w:lineRule="auto"/>
        <w:ind w:firstLine="420" w:firstLineChars="200"/>
        <w:rPr>
          <w:rFonts w:ascii="宋体" w:hAnsi="宋体"/>
          <w:szCs w:val="21"/>
        </w:rPr>
      </w:pPr>
      <w:bookmarkStart w:id="1" w:name="OLE_LINK12"/>
      <w:r>
        <w:rPr>
          <w:rFonts w:hint="eastAsia" w:ascii="宋体" w:hAnsi="宋体"/>
          <w:szCs w:val="21"/>
        </w:rPr>
        <w:t>在企业的成品库内或流水线尾端产品中随机抽取有产品质量检验合格证明或者以其他形式表明合格的、近期生产的产品（特殊情况除外）。</w:t>
      </w:r>
    </w:p>
    <w:bookmarkEnd w:id="1"/>
    <w:p>
      <w:pPr>
        <w:snapToGrid w:val="0"/>
        <w:spacing w:beforeLines="50" w:line="360" w:lineRule="auto"/>
        <w:rPr>
          <w:rFonts w:ascii="宋体" w:hAnsi="宋体"/>
          <w:b/>
          <w:szCs w:val="21"/>
        </w:rPr>
      </w:pPr>
      <w:r>
        <w:rPr>
          <w:rFonts w:hint="eastAsia" w:ascii="宋体" w:hAnsi="宋体"/>
          <w:b/>
          <w:szCs w:val="21"/>
        </w:rPr>
        <w:t>6.2.2 抽样基数</w:t>
      </w:r>
    </w:p>
    <w:p>
      <w:pPr>
        <w:snapToGrid w:val="0"/>
        <w:spacing w:line="360" w:lineRule="auto"/>
        <w:ind w:firstLine="420" w:firstLineChars="200"/>
        <w:rPr>
          <w:rFonts w:hAnsi="宋体"/>
          <w:szCs w:val="21"/>
        </w:rPr>
      </w:pPr>
      <w:r>
        <w:rPr>
          <w:rFonts w:hint="eastAsia" w:hAnsi="宋体"/>
          <w:szCs w:val="21"/>
        </w:rPr>
        <w:t>抽样基数满足抽样数量即可。</w:t>
      </w:r>
    </w:p>
    <w:p>
      <w:pPr>
        <w:snapToGrid w:val="0"/>
        <w:spacing w:beforeLines="50" w:line="360" w:lineRule="auto"/>
        <w:rPr>
          <w:rFonts w:ascii="宋体" w:hAnsi="宋体"/>
          <w:b/>
          <w:szCs w:val="21"/>
        </w:rPr>
      </w:pPr>
      <w:r>
        <w:rPr>
          <w:rFonts w:hint="eastAsia" w:ascii="宋体" w:hAnsi="宋体"/>
          <w:b/>
          <w:szCs w:val="21"/>
        </w:rPr>
        <w:t>6.2.3 抽样数量和要求</w:t>
      </w:r>
    </w:p>
    <w:p>
      <w:pPr>
        <w:snapToGrid w:val="0"/>
        <w:spacing w:beforeLines="50" w:line="360" w:lineRule="auto"/>
        <w:ind w:firstLine="420" w:firstLineChars="200"/>
        <w:rPr>
          <w:rFonts w:ascii="宋体" w:hAnsi="宋体"/>
          <w:szCs w:val="21"/>
        </w:rPr>
      </w:pPr>
      <w:r>
        <w:rPr>
          <w:rFonts w:hint="eastAsia" w:ascii="宋体" w:hAnsi="宋体"/>
          <w:szCs w:val="21"/>
        </w:rPr>
        <w:t>样本数量具体见表3：</w:t>
      </w:r>
    </w:p>
    <w:p>
      <w:pPr>
        <w:spacing w:line="360" w:lineRule="auto"/>
        <w:jc w:val="center"/>
        <w:rPr>
          <w:rFonts w:ascii="宋体" w:hAnsi="宋体"/>
          <w:b/>
          <w:sz w:val="21"/>
          <w:szCs w:val="21"/>
        </w:rPr>
      </w:pPr>
      <w:r>
        <w:rPr>
          <w:rFonts w:hint="eastAsia" w:ascii="宋体" w:hAnsi="宋体"/>
          <w:b/>
          <w:sz w:val="21"/>
          <w:szCs w:val="21"/>
        </w:rPr>
        <w:t>表3 床上用品抽样数量</w:t>
      </w:r>
    </w:p>
    <w:tbl>
      <w:tblPr>
        <w:tblStyle w:val="5"/>
        <w:tblW w:w="8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1559"/>
        <w:gridCol w:w="184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产品名称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抽样数量</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检验样品数量</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床单、被、被套、床笠、床罩、配套床上用品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2件/条/套</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1件/条/套</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枕、垫类产品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3件/个</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2件/个</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1件/个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6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1"/>
                <w:szCs w:val="21"/>
              </w:rPr>
            </w:pPr>
            <w:r>
              <w:rPr>
                <w:rFonts w:hint="eastAsia" w:ascii="宋体" w:hAnsi="宋体"/>
                <w:sz w:val="21"/>
                <w:szCs w:val="21"/>
              </w:rPr>
              <w:t>注：如果样品太小，或有局部印花可能会影响试验取样时，可适当增加检验用样品量。</w:t>
            </w:r>
          </w:p>
        </w:tc>
      </w:tr>
    </w:tbl>
    <w:p>
      <w:pPr>
        <w:spacing w:beforeLines="50" w:line="360" w:lineRule="auto"/>
        <w:rPr>
          <w:rFonts w:ascii="宋体" w:hAnsi="宋体"/>
          <w:b/>
          <w:szCs w:val="21"/>
        </w:rPr>
      </w:pPr>
      <w:r>
        <w:rPr>
          <w:rFonts w:hint="eastAsia" w:ascii="宋体" w:hAnsi="宋体"/>
          <w:b/>
          <w:szCs w:val="21"/>
        </w:rPr>
        <w:t>6.3  样品处置</w:t>
      </w:r>
    </w:p>
    <w:p>
      <w:pPr>
        <w:spacing w:line="360" w:lineRule="auto"/>
        <w:rPr>
          <w:rFonts w:ascii="宋体" w:hAnsi="宋体"/>
          <w:szCs w:val="21"/>
        </w:rPr>
      </w:pPr>
      <w:r>
        <w:rPr>
          <w:rFonts w:hint="eastAsia" w:ascii="宋体" w:hAnsi="宋体"/>
          <w:b/>
          <w:bCs/>
          <w:szCs w:val="21"/>
        </w:rPr>
        <w:t>6.3.1</w:t>
      </w:r>
      <w:r>
        <w:rPr>
          <w:rFonts w:hint="eastAsia" w:ascii="宋体" w:hAnsi="宋体"/>
          <w:szCs w:val="21"/>
        </w:rPr>
        <w:t xml:space="preserve">  抽取的样品连同其原包装和使用说明用清洁的包装袋（箱）等密封包装后加贴封条封样。包装的方式应能防止样品在运送过程中损坏或被污染，封样的方式应能有效防止未经授权的拆封。</w:t>
      </w:r>
    </w:p>
    <w:p>
      <w:pPr>
        <w:spacing w:line="360" w:lineRule="auto"/>
        <w:rPr>
          <w:rFonts w:ascii="宋体" w:hAnsi="宋体"/>
          <w:szCs w:val="21"/>
        </w:rPr>
      </w:pPr>
      <w:r>
        <w:rPr>
          <w:rFonts w:hint="eastAsia" w:ascii="宋体" w:hAnsi="宋体"/>
          <w:b/>
          <w:bCs/>
          <w:szCs w:val="21"/>
        </w:rPr>
        <w:t>6.3.2</w:t>
      </w:r>
      <w:r>
        <w:rPr>
          <w:rFonts w:hint="eastAsia" w:ascii="宋体" w:hAnsi="宋体"/>
          <w:szCs w:val="21"/>
        </w:rPr>
        <w:t xml:space="preserve">  检验用样品及备用样品应分别封样，由抽样人员负责携带或寄送至承检机构。</w:t>
      </w:r>
      <w:r>
        <w:rPr>
          <w:rFonts w:hint="eastAsia"/>
          <w:snapToGrid w:val="0"/>
        </w:rPr>
        <w:t>检验用样品及备用样品应存</w:t>
      </w:r>
      <w:r>
        <w:rPr>
          <w:rFonts w:hint="eastAsia"/>
          <w:snapToGrid w:val="0"/>
          <w:lang w:eastAsia="zh-CN"/>
        </w:rPr>
        <w:t>放</w:t>
      </w:r>
      <w:bookmarkStart w:id="2" w:name="_GoBack"/>
      <w:bookmarkEnd w:id="2"/>
      <w:r>
        <w:rPr>
          <w:rFonts w:hint="eastAsia"/>
          <w:snapToGrid w:val="0"/>
        </w:rPr>
        <w:t>在</w:t>
      </w:r>
      <w:r>
        <w:rPr>
          <w:rFonts w:hint="eastAsia"/>
          <w:snapToGrid w:val="0"/>
          <w:lang w:eastAsia="zh-CN"/>
        </w:rPr>
        <w:t>承</w:t>
      </w:r>
      <w:r>
        <w:rPr>
          <w:rFonts w:hint="eastAsia"/>
          <w:snapToGrid w:val="0"/>
        </w:rPr>
        <w:t>检机构</w:t>
      </w:r>
      <w:r>
        <w:rPr>
          <w:rFonts w:hint="eastAsia" w:ascii="宋体" w:hAnsi="宋体"/>
          <w:szCs w:val="21"/>
        </w:rPr>
        <w:t>。</w:t>
      </w:r>
    </w:p>
    <w:p>
      <w:pPr>
        <w:spacing w:beforeLines="50" w:line="360" w:lineRule="auto"/>
        <w:rPr>
          <w:rFonts w:ascii="宋体" w:hAnsi="宋体"/>
          <w:b/>
          <w:szCs w:val="21"/>
        </w:rPr>
      </w:pPr>
      <w:r>
        <w:rPr>
          <w:rFonts w:hint="eastAsia" w:ascii="宋体" w:hAnsi="宋体"/>
          <w:b/>
          <w:szCs w:val="21"/>
        </w:rPr>
        <w:t>6.4　抽样单</w:t>
      </w:r>
    </w:p>
    <w:p>
      <w:pPr>
        <w:snapToGrid w:val="0"/>
        <w:spacing w:beforeLines="50" w:line="360" w:lineRule="auto"/>
        <w:ind w:firstLine="420" w:firstLineChars="200"/>
        <w:rPr>
          <w:rFonts w:ascii="宋体" w:hAnsi="宋体"/>
          <w:szCs w:val="21"/>
        </w:rPr>
      </w:pPr>
      <w:r>
        <w:rPr>
          <w:rFonts w:hint="eastAsia" w:ascii="宋体" w:hAnsi="宋体"/>
          <w:szCs w:val="21"/>
        </w:rPr>
        <w:t>应按有关规定填写抽样单，并记录被抽查产品及企业相关信息。同时记录被抽查企业上一年度生产的被抽查产品销售总额(以万元计)。若被抽查企业上一年未生产此类产品，则记录本年度已实际生产此类产品的销售总额，并加以注明。对于产品检验所需的样品技术参数等信息，需要被抽查企业提供的，应在抽样现场获取，并经企业确认。</w:t>
      </w:r>
    </w:p>
    <w:p>
      <w:pPr>
        <w:snapToGrid w:val="0"/>
        <w:spacing w:line="460" w:lineRule="exact"/>
        <w:rPr>
          <w:rFonts w:ascii="宋体" w:hAnsi="宋体" w:cs="Sim Sun"/>
          <w:b/>
          <w:kern w:val="0"/>
          <w:szCs w:val="21"/>
        </w:rPr>
      </w:pPr>
      <w:r>
        <w:rPr>
          <w:rFonts w:hint="eastAsia" w:ascii="宋体" w:hAnsi="宋体" w:cs="Sim Sun"/>
          <w:b/>
          <w:kern w:val="0"/>
          <w:szCs w:val="21"/>
        </w:rPr>
        <w:t>7 检验要求</w:t>
      </w:r>
    </w:p>
    <w:p>
      <w:pPr>
        <w:snapToGrid w:val="0"/>
        <w:spacing w:line="460" w:lineRule="exact"/>
        <w:rPr>
          <w:rFonts w:ascii="宋体" w:hAnsi="宋体" w:cs="Sim Sun"/>
          <w:b/>
          <w:kern w:val="0"/>
          <w:szCs w:val="21"/>
        </w:rPr>
      </w:pPr>
      <w:r>
        <w:rPr>
          <w:rFonts w:hint="eastAsia" w:ascii="宋体" w:hAnsi="宋体" w:cs="Sim Sun"/>
          <w:b/>
          <w:kern w:val="0"/>
          <w:szCs w:val="21"/>
        </w:rPr>
        <w:t>7.1 检验项目及重要程度分类</w:t>
      </w:r>
    </w:p>
    <w:p>
      <w:pPr>
        <w:snapToGrid w:val="0"/>
        <w:spacing w:line="460" w:lineRule="exact"/>
        <w:rPr>
          <w:rFonts w:ascii="宋体" w:hAnsi="宋体" w:cs="Sim Sun"/>
          <w:kern w:val="0"/>
          <w:szCs w:val="21"/>
        </w:rPr>
      </w:pPr>
      <w:r>
        <w:rPr>
          <w:rFonts w:hint="eastAsia" w:ascii="宋体" w:hAnsi="宋体" w:cs="Sim Sun"/>
          <w:b/>
          <w:kern w:val="0"/>
          <w:szCs w:val="21"/>
        </w:rPr>
        <w:t xml:space="preserve">7.1.1 </w:t>
      </w:r>
      <w:r>
        <w:rPr>
          <w:rFonts w:hint="eastAsia" w:ascii="宋体" w:hAnsi="宋体" w:cs="Sim Sun"/>
          <w:kern w:val="0"/>
          <w:szCs w:val="21"/>
        </w:rPr>
        <w:t>床上用品检验项目及重要程度分类见表4。</w:t>
      </w:r>
    </w:p>
    <w:p>
      <w:pPr>
        <w:spacing w:beforeLines="50" w:line="360" w:lineRule="auto"/>
        <w:ind w:firstLine="422" w:firstLineChars="200"/>
        <w:jc w:val="center"/>
        <w:rPr>
          <w:rFonts w:ascii="宋体" w:hAnsi="宋体"/>
          <w:b/>
          <w:sz w:val="21"/>
          <w:szCs w:val="21"/>
        </w:rPr>
      </w:pPr>
      <w:r>
        <w:rPr>
          <w:rFonts w:hint="eastAsia" w:ascii="宋体" w:hAnsi="宋体"/>
          <w:b/>
          <w:sz w:val="21"/>
          <w:szCs w:val="21"/>
        </w:rPr>
        <w:t xml:space="preserve">表4　床上用品检验项目及重要程度分类 </w:t>
      </w:r>
    </w:p>
    <w:tbl>
      <w:tblPr>
        <w:tblStyle w:val="5"/>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770"/>
        <w:gridCol w:w="2379"/>
        <w:gridCol w:w="1264"/>
        <w:gridCol w:w="1561"/>
        <w:gridCol w:w="708"/>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42"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序号</w:t>
            </w:r>
          </w:p>
        </w:tc>
        <w:tc>
          <w:tcPr>
            <w:tcW w:w="1770"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检验项目</w:t>
            </w:r>
          </w:p>
        </w:tc>
        <w:tc>
          <w:tcPr>
            <w:tcW w:w="2379"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据法律法规</w:t>
            </w:r>
          </w:p>
          <w:p>
            <w:pPr>
              <w:adjustRightInd w:val="0"/>
              <w:snapToGrid w:val="0"/>
              <w:jc w:val="center"/>
              <w:rPr>
                <w:rFonts w:ascii="宋体" w:hAnsi="宋体"/>
                <w:b/>
                <w:bCs/>
                <w:sz w:val="21"/>
                <w:szCs w:val="21"/>
              </w:rPr>
            </w:pPr>
            <w:r>
              <w:rPr>
                <w:rFonts w:hint="eastAsia" w:ascii="宋体" w:hAnsi="宋体"/>
                <w:b/>
                <w:bCs/>
                <w:sz w:val="21"/>
                <w:szCs w:val="21"/>
              </w:rPr>
              <w:t>或标准条款</w:t>
            </w:r>
          </w:p>
        </w:tc>
        <w:tc>
          <w:tcPr>
            <w:tcW w:w="1264"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强制性/    推荐性</w:t>
            </w:r>
          </w:p>
        </w:tc>
        <w:tc>
          <w:tcPr>
            <w:tcW w:w="1561"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b/>
                <w:bCs/>
                <w:sz w:val="21"/>
                <w:szCs w:val="21"/>
              </w:rPr>
            </w:pPr>
            <w:r>
              <w:rPr>
                <w:rFonts w:hint="eastAsia" w:ascii="宋体" w:hAnsi="宋体"/>
                <w:b/>
                <w:bCs/>
                <w:sz w:val="21"/>
                <w:szCs w:val="21"/>
              </w:rPr>
              <w:t>检测方法</w:t>
            </w:r>
          </w:p>
        </w:tc>
        <w:tc>
          <w:tcPr>
            <w:tcW w:w="14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1"/>
                <w:szCs w:val="21"/>
              </w:rPr>
            </w:pPr>
            <w:r>
              <w:rPr>
                <w:rFonts w:hint="eastAsia" w:ascii="宋体" w:hAnsi="宋体"/>
                <w:b/>
                <w:bCs/>
                <w:sz w:val="21"/>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4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177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2379"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1264"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1561"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b/>
                <w:bCs/>
                <w:sz w:val="21"/>
                <w:szCs w:val="21"/>
              </w:rPr>
            </w:pPr>
          </w:p>
        </w:tc>
        <w:tc>
          <w:tcPr>
            <w:tcW w:w="708"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b/>
                <w:bCs/>
                <w:sz w:val="21"/>
                <w:szCs w:val="21"/>
              </w:rPr>
            </w:pPr>
            <w:r>
              <w:rPr>
                <w:rFonts w:hint="eastAsia" w:ascii="宋体" w:hAnsi="宋体"/>
                <w:b/>
                <w:bCs/>
                <w:sz w:val="21"/>
                <w:szCs w:val="21"/>
              </w:rPr>
              <w:t>A</w:t>
            </w:r>
            <w:r>
              <w:rPr>
                <w:rFonts w:hint="eastAsia" w:ascii="宋体" w:hAnsi="宋体"/>
                <w:b/>
                <w:bCs/>
                <w:sz w:val="21"/>
                <w:szCs w:val="21"/>
                <w:vertAlign w:val="superscript"/>
              </w:rPr>
              <w:t>a</w:t>
            </w:r>
            <w:r>
              <w:rPr>
                <w:rFonts w:hint="eastAsia" w:ascii="宋体" w:hAnsi="宋体"/>
                <w:b/>
                <w:bCs/>
                <w:sz w:val="21"/>
                <w:szCs w:val="21"/>
              </w:rPr>
              <w:t>类</w:t>
            </w: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sz w:val="21"/>
                <w:szCs w:val="21"/>
              </w:rPr>
            </w:pPr>
            <w:r>
              <w:rPr>
                <w:rFonts w:hint="eastAsia" w:ascii="宋体" w:hAnsi="宋体"/>
                <w:b/>
                <w:bCs/>
                <w:sz w:val="21"/>
                <w:szCs w:val="21"/>
              </w:rPr>
              <w:t>B</w:t>
            </w:r>
            <w:r>
              <w:rPr>
                <w:rFonts w:hint="eastAsia" w:ascii="宋体" w:hAnsi="宋体"/>
                <w:b/>
                <w:bCs/>
                <w:sz w:val="21"/>
                <w:szCs w:val="21"/>
                <w:vertAlign w:val="superscript"/>
              </w:rPr>
              <w:t>b</w:t>
            </w:r>
            <w:r>
              <w:rPr>
                <w:rFonts w:hint="eastAsia" w:ascii="宋体" w:hAnsi="宋体"/>
                <w:b/>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642"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1</w:t>
            </w:r>
          </w:p>
        </w:tc>
        <w:tc>
          <w:tcPr>
            <w:tcW w:w="1770" w:type="dxa"/>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sz w:val="21"/>
                <w:szCs w:val="21"/>
              </w:rPr>
            </w:pPr>
            <w:r>
              <w:rPr>
                <w:rFonts w:hint="eastAsia" w:ascii="宋体" w:hAnsi="宋体"/>
                <w:sz w:val="21"/>
                <w:szCs w:val="21"/>
              </w:rPr>
              <w:t>甲醛含量</w:t>
            </w:r>
          </w:p>
        </w:tc>
        <w:tc>
          <w:tcPr>
            <w:tcW w:w="2379" w:type="dxa"/>
            <w:tcBorders>
              <w:top w:val="single" w:color="auto" w:sz="4" w:space="0"/>
              <w:left w:val="single" w:color="auto" w:sz="4" w:space="0"/>
              <w:bottom w:val="single" w:color="auto" w:sz="4" w:space="0"/>
              <w:right w:val="nil"/>
            </w:tcBorders>
          </w:tcPr>
          <w:p>
            <w:pPr>
              <w:jc w:val="center"/>
              <w:rPr>
                <w:rFonts w:ascii="宋体" w:hAnsi="宋体"/>
                <w:sz w:val="21"/>
                <w:szCs w:val="21"/>
              </w:rPr>
            </w:pPr>
            <w:r>
              <w:rPr>
                <w:rFonts w:hint="eastAsia" w:ascii="宋体" w:hAnsi="宋体"/>
                <w:sz w:val="21"/>
                <w:szCs w:val="21"/>
              </w:rPr>
              <w:t>GB 18401</w:t>
            </w:r>
          </w:p>
          <w:p>
            <w:pPr>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lang w:val="de-DE"/>
              </w:rPr>
            </w:pPr>
            <w:r>
              <w:rPr>
                <w:rFonts w:hint="eastAsia" w:ascii="宋体" w:hAnsi="宋体"/>
                <w:sz w:val="21"/>
                <w:szCs w:val="21"/>
              </w:rPr>
              <w:t>GB/T 2912.1</w:t>
            </w:r>
          </w:p>
        </w:tc>
        <w:tc>
          <w:tcPr>
            <w:tcW w:w="708" w:type="dxa"/>
            <w:tcBorders>
              <w:top w:val="single" w:color="auto" w:sz="4" w:space="0"/>
              <w:left w:val="single" w:color="auto" w:sz="4" w:space="0"/>
              <w:bottom w:val="single" w:color="auto" w:sz="4" w:space="0"/>
              <w:right w:val="nil"/>
            </w:tcBorders>
            <w:vAlign w:val="center"/>
          </w:tcPr>
          <w:p>
            <w:pPr>
              <w:adjustRightInd w:val="0"/>
              <w:snapToGrid w:val="0"/>
              <w:jc w:val="center"/>
              <w:rPr>
                <w:rFonts w:ascii="宋体" w:hAnsi="宋体"/>
                <w:sz w:val="21"/>
                <w:szCs w:val="21"/>
                <w:lang w:val="de-DE"/>
              </w:rPr>
            </w:pPr>
            <w:r>
              <w:rPr>
                <w:rFonts w:hint="eastAsia" w:ascii="宋体" w:hAnsi="宋体"/>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642"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2</w:t>
            </w:r>
          </w:p>
        </w:tc>
        <w:tc>
          <w:tcPr>
            <w:tcW w:w="1770"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可分解致癌芳香胺染料</w:t>
            </w:r>
          </w:p>
        </w:tc>
        <w:tc>
          <w:tcPr>
            <w:tcW w:w="2379" w:type="dxa"/>
            <w:tcBorders>
              <w:top w:val="single" w:color="auto" w:sz="4" w:space="0"/>
              <w:left w:val="single" w:color="auto" w:sz="4" w:space="0"/>
              <w:bottom w:val="single" w:color="auto" w:sz="4" w:space="0"/>
              <w:right w:val="nil"/>
            </w:tcBorders>
          </w:tcPr>
          <w:p>
            <w:pPr>
              <w:jc w:val="center"/>
              <w:rPr>
                <w:rFonts w:ascii="宋体" w:hAnsi="宋体"/>
                <w:sz w:val="21"/>
                <w:szCs w:val="21"/>
              </w:rPr>
            </w:pPr>
            <w:r>
              <w:rPr>
                <w:rFonts w:hint="eastAsia" w:ascii="宋体" w:hAnsi="宋体"/>
                <w:sz w:val="21"/>
                <w:szCs w:val="21"/>
              </w:rPr>
              <w:t>GB 18401</w:t>
            </w:r>
          </w:p>
          <w:p>
            <w:pPr>
              <w:jc w:val="center"/>
              <w:rPr>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GB/T 17592</w:t>
            </w:r>
          </w:p>
          <w:p>
            <w:pPr>
              <w:spacing w:line="320" w:lineRule="exact"/>
              <w:jc w:val="center"/>
              <w:rPr>
                <w:rFonts w:ascii="宋体" w:hAnsi="宋体"/>
                <w:sz w:val="21"/>
                <w:szCs w:val="21"/>
              </w:rPr>
            </w:pPr>
            <w:r>
              <w:rPr>
                <w:rFonts w:hint="eastAsia" w:ascii="宋体" w:hAnsi="宋体"/>
                <w:sz w:val="21"/>
                <w:szCs w:val="21"/>
              </w:rPr>
              <w:t>GB/T 23344</w:t>
            </w:r>
          </w:p>
        </w:tc>
        <w:tc>
          <w:tcPr>
            <w:tcW w:w="708" w:type="dxa"/>
            <w:tcBorders>
              <w:top w:val="single" w:color="auto" w:sz="4" w:space="0"/>
              <w:left w:val="single" w:color="auto" w:sz="4" w:space="0"/>
              <w:bottom w:val="single" w:color="auto" w:sz="4" w:space="0"/>
              <w:right w:val="nil"/>
            </w:tcBorders>
            <w:vAlign w:val="center"/>
          </w:tcPr>
          <w:p>
            <w:pPr>
              <w:spacing w:line="320" w:lineRule="exact"/>
              <w:jc w:val="center"/>
              <w:rPr>
                <w:rFonts w:ascii="宋体" w:hAnsi="宋体"/>
                <w:sz w:val="21"/>
                <w:szCs w:val="21"/>
              </w:rPr>
            </w:pPr>
            <w:r>
              <w:rPr>
                <w:rFonts w:hint="eastAsia" w:ascii="宋体" w:hAnsi="宋体"/>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1"/>
                <w:szCs w:val="21"/>
              </w:rPr>
            </w:pPr>
          </w:p>
          <w:p>
            <w:pPr>
              <w:spacing w:line="32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3</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pH值</w:t>
            </w:r>
          </w:p>
        </w:tc>
        <w:tc>
          <w:tcPr>
            <w:tcW w:w="237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w:t>
            </w:r>
          </w:p>
          <w:p>
            <w:pPr>
              <w:jc w:val="center"/>
              <w:rPr>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7573</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4</w:t>
            </w:r>
          </w:p>
        </w:tc>
        <w:tc>
          <w:tcPr>
            <w:tcW w:w="1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耐水色牢度</w:t>
            </w:r>
          </w:p>
        </w:tc>
        <w:tc>
          <w:tcPr>
            <w:tcW w:w="2379"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w:t>
            </w:r>
          </w:p>
          <w:p>
            <w:pPr>
              <w:jc w:val="center"/>
              <w:rPr>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5713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5</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耐酸汗渍色牢度</w:t>
            </w:r>
          </w:p>
        </w:tc>
        <w:tc>
          <w:tcPr>
            <w:tcW w:w="237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w:t>
            </w:r>
          </w:p>
          <w:p>
            <w:pPr>
              <w:jc w:val="center"/>
              <w:rPr>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3922</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6</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耐碱汗渍色牢度</w:t>
            </w:r>
          </w:p>
        </w:tc>
        <w:tc>
          <w:tcPr>
            <w:tcW w:w="2379"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w:t>
            </w:r>
          </w:p>
          <w:p>
            <w:pPr>
              <w:jc w:val="center"/>
              <w:rPr>
                <w:sz w:val="21"/>
                <w:szCs w:val="21"/>
              </w:rPr>
            </w:pPr>
            <w:r>
              <w:rPr>
                <w:rFonts w:hint="eastAsia" w:ascii="宋体" w:hAnsi="宋体"/>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3922</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7</w:t>
            </w:r>
          </w:p>
        </w:tc>
        <w:tc>
          <w:tcPr>
            <w:tcW w:w="1770" w:type="dxa"/>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r>
              <w:rPr>
                <w:rFonts w:hint="eastAsia" w:ascii="宋体" w:hAnsi="宋体"/>
                <w:sz w:val="21"/>
                <w:szCs w:val="21"/>
              </w:rPr>
              <w:t>耐干摩擦色牢度</w:t>
            </w:r>
          </w:p>
        </w:tc>
        <w:tc>
          <w:tcPr>
            <w:tcW w:w="2379"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GB 18401</w:t>
            </w:r>
          </w:p>
          <w:p>
            <w:pPr>
              <w:jc w:val="center"/>
              <w:rPr>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强制性</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GB/T 3920</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8</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耐湿摩擦色牢度</w:t>
            </w:r>
          </w:p>
        </w:tc>
        <w:tc>
          <w:tcPr>
            <w:tcW w:w="237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宋体" w:hAnsi="宋体"/>
                <w:color w:val="000000"/>
                <w:sz w:val="21"/>
                <w:szCs w:val="21"/>
              </w:rPr>
              <w:t>相应产品标准</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推荐性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GB/T 3920</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9</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color w:val="000000"/>
                <w:sz w:val="21"/>
                <w:szCs w:val="21"/>
              </w:rPr>
              <w:t>耐洗（皂洗）色牢度</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宋体" w:hAnsi="宋体"/>
                <w:color w:val="000000"/>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1"/>
                <w:szCs w:val="21"/>
              </w:rPr>
            </w:pPr>
            <w:r>
              <w:rPr>
                <w:rFonts w:hint="eastAsia" w:ascii="宋体" w:hAnsi="宋体"/>
                <w:color w:val="000000"/>
                <w:sz w:val="21"/>
                <w:szCs w:val="21"/>
              </w:rPr>
              <w:t>GB/T 3921</w:t>
            </w:r>
          </w:p>
          <w:p>
            <w:pPr>
              <w:adjustRightInd w:val="0"/>
              <w:snapToGrid w:val="0"/>
              <w:jc w:val="center"/>
              <w:rPr>
                <w:rFonts w:ascii="宋体" w:hAnsi="宋体"/>
                <w:sz w:val="21"/>
                <w:szCs w:val="21"/>
              </w:rPr>
            </w:pPr>
            <w:r>
              <w:rPr>
                <w:rFonts w:hint="eastAsia" w:ascii="宋体" w:hAnsi="宋体"/>
                <w:color w:val="000000"/>
                <w:sz w:val="21"/>
                <w:szCs w:val="21"/>
              </w:rPr>
              <w:t>相应产品标准</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10</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纤维含量</w:t>
            </w:r>
            <w:r>
              <w:rPr>
                <w:rFonts w:hint="eastAsia" w:ascii="宋体" w:hAnsi="宋体"/>
                <w:sz w:val="21"/>
                <w:szCs w:val="21"/>
                <w:vertAlign w:val="superscript"/>
              </w:rPr>
              <w:t>c</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GB/T 29862</w:t>
            </w:r>
          </w:p>
          <w:p>
            <w:pPr>
              <w:adjustRightInd w:val="0"/>
              <w:snapToGrid w:val="0"/>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val="de-DE"/>
              </w:rPr>
            </w:pPr>
            <w:r>
              <w:rPr>
                <w:rFonts w:hint="eastAsia" w:ascii="宋体" w:hAnsi="宋体"/>
                <w:sz w:val="21"/>
                <w:szCs w:val="21"/>
                <w:lang w:val="de-DE"/>
              </w:rPr>
              <w:t>FZ/T 01057</w:t>
            </w:r>
          </w:p>
          <w:p>
            <w:pPr>
              <w:adjustRightInd w:val="0"/>
              <w:snapToGrid w:val="0"/>
              <w:jc w:val="center"/>
              <w:rPr>
                <w:rFonts w:ascii="宋体" w:hAnsi="宋体"/>
                <w:sz w:val="21"/>
                <w:szCs w:val="21"/>
                <w:lang w:val="de-DE"/>
              </w:rPr>
            </w:pPr>
            <w:r>
              <w:rPr>
                <w:rFonts w:hint="eastAsia" w:ascii="宋体" w:hAnsi="宋体"/>
                <w:sz w:val="21"/>
                <w:szCs w:val="21"/>
                <w:lang w:val="de-DE"/>
              </w:rPr>
              <w:t>GB/T 2910</w:t>
            </w:r>
          </w:p>
          <w:p>
            <w:pPr>
              <w:adjustRightInd w:val="0"/>
              <w:snapToGrid w:val="0"/>
              <w:jc w:val="center"/>
              <w:rPr>
                <w:rFonts w:ascii="宋体" w:hAnsi="宋体"/>
                <w:sz w:val="21"/>
                <w:szCs w:val="21"/>
              </w:rPr>
            </w:pPr>
            <w:r>
              <w:rPr>
                <w:rFonts w:hint="eastAsia" w:ascii="宋体" w:hAnsi="宋体"/>
                <w:sz w:val="21"/>
                <w:szCs w:val="21"/>
                <w:lang w:val="de-DE"/>
              </w:rPr>
              <w:t>GB/T 16988</w:t>
            </w:r>
            <w:r>
              <w:rPr>
                <w:rFonts w:hint="eastAsia" w:ascii="宋体" w:hAnsi="宋体"/>
                <w:sz w:val="21"/>
                <w:szCs w:val="21"/>
              </w:rPr>
              <w:t>等</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1"/>
                <w:szCs w:val="21"/>
              </w:rPr>
            </w:pPr>
            <w:r>
              <w:rPr>
                <w:rFonts w:hint="eastAsia" w:ascii="宋体" w:hAnsi="宋体"/>
                <w:sz w:val="21"/>
                <w:szCs w:val="21"/>
              </w:rPr>
              <w:t>11</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断裂强力</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相应产品标准</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推荐性</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val="de-DE"/>
              </w:rPr>
            </w:pPr>
            <w:r>
              <w:rPr>
                <w:rFonts w:hint="eastAsia" w:ascii="宋体" w:hAnsi="宋体"/>
                <w:sz w:val="21"/>
                <w:szCs w:val="21"/>
              </w:rPr>
              <w:t>GB/T 3923.1</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6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1"/>
                <w:szCs w:val="21"/>
              </w:rPr>
            </w:pPr>
            <w:r>
              <w:rPr>
                <w:rFonts w:hint="eastAsia" w:ascii="宋体" w:hAnsi="宋体"/>
                <w:sz w:val="21"/>
                <w:szCs w:val="21"/>
              </w:rPr>
              <w:t>12</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color w:val="000000"/>
                <w:sz w:val="21"/>
                <w:szCs w:val="21"/>
              </w:rPr>
              <w:t>絮用纤维原料要求</w:t>
            </w:r>
            <w:r>
              <w:rPr>
                <w:rFonts w:hint="eastAsia" w:ascii="宋体" w:hAnsi="宋体"/>
                <w:color w:val="000000"/>
                <w:sz w:val="21"/>
                <w:szCs w:val="21"/>
                <w:vertAlign w:val="superscript"/>
              </w:rPr>
              <w:t>d</w:t>
            </w:r>
          </w:p>
        </w:tc>
        <w:tc>
          <w:tcPr>
            <w:tcW w:w="23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GB 18383</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color w:val="000000"/>
                <w:sz w:val="21"/>
                <w:szCs w:val="21"/>
              </w:rPr>
              <w:t>强制性</w:t>
            </w:r>
          </w:p>
        </w:tc>
        <w:tc>
          <w:tcPr>
            <w:tcW w:w="15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GB 18383</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w:t>
            </w: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tabs>
                <w:tab w:val="left" w:pos="2520"/>
              </w:tabs>
              <w:spacing w:line="140" w:lineRule="atLeast"/>
              <w:ind w:left="-107" w:leftChars="-51" w:firstLine="210" w:firstLineChars="100"/>
              <w:jc w:val="center"/>
              <w:rPr>
                <w:rFonts w:ascii="宋体" w:hAnsi="宋体"/>
                <w:sz w:val="21"/>
                <w:szCs w:val="21"/>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07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注：a 极重要质量项目。极重要质量项目是指直接涉及人体健康、使用安全的指标。</w:t>
            </w:r>
          </w:p>
          <w:p>
            <w:pPr>
              <w:ind w:firstLine="420" w:firstLineChars="200"/>
              <w:rPr>
                <w:rFonts w:ascii="宋体" w:hAnsi="宋体"/>
                <w:sz w:val="21"/>
                <w:szCs w:val="21"/>
              </w:rPr>
            </w:pPr>
            <w:r>
              <w:rPr>
                <w:rFonts w:hint="eastAsia" w:ascii="宋体" w:hAnsi="宋体"/>
                <w:sz w:val="21"/>
                <w:szCs w:val="21"/>
              </w:rPr>
              <w:t>b 重要质量项目。重要质量项目是指产品涉及环保、能效、关键性能或特征值的指标。</w:t>
            </w:r>
          </w:p>
          <w:p>
            <w:pPr>
              <w:ind w:firstLine="420" w:firstLineChars="200"/>
              <w:rPr>
                <w:rFonts w:ascii="宋体" w:hAnsi="宋体"/>
                <w:sz w:val="21"/>
                <w:szCs w:val="21"/>
              </w:rPr>
            </w:pPr>
            <w:r>
              <w:rPr>
                <w:rFonts w:hint="eastAsia" w:ascii="宋体" w:hAnsi="宋体"/>
                <w:sz w:val="21"/>
                <w:szCs w:val="21"/>
              </w:rPr>
              <w:t>c 如果未标注产品主要原材料的纤维成分和含量，则判定该项目为不合格。</w:t>
            </w:r>
          </w:p>
          <w:p>
            <w:pPr>
              <w:ind w:firstLine="420" w:firstLineChars="200"/>
              <w:rPr>
                <w:rFonts w:ascii="宋体" w:hAnsi="宋体"/>
                <w:sz w:val="21"/>
                <w:szCs w:val="21"/>
                <w:lang w:val="de-DE"/>
              </w:rPr>
            </w:pPr>
            <w:r>
              <w:rPr>
                <w:rFonts w:hint="eastAsia" w:ascii="宋体" w:hAnsi="宋体"/>
                <w:sz w:val="21"/>
                <w:szCs w:val="21"/>
              </w:rPr>
              <w:t>d 絮用纤维原料要求中GB 18383-2007 4.1.1、4.1.2、4.1.4项目为A类，4.1.5、4.1.6、4.1.7项目为B类。</w:t>
            </w:r>
          </w:p>
        </w:tc>
      </w:tr>
    </w:tbl>
    <w:p>
      <w:pPr>
        <w:spacing w:beforeLines="50" w:line="360" w:lineRule="auto"/>
        <w:ind w:firstLine="422" w:firstLineChars="200"/>
        <w:jc w:val="center"/>
        <w:rPr>
          <w:rFonts w:ascii="宋体" w:hAnsi="宋体"/>
          <w:b/>
          <w:sz w:val="21"/>
          <w:szCs w:val="21"/>
        </w:rPr>
      </w:pPr>
    </w:p>
    <w:p>
      <w:pPr>
        <w:snapToGrid w:val="0"/>
        <w:spacing w:line="360" w:lineRule="auto"/>
        <w:rPr>
          <w:b/>
          <w:color w:val="000000"/>
          <w:kern w:val="0"/>
          <w:szCs w:val="21"/>
        </w:rPr>
      </w:pPr>
      <w:r>
        <w:rPr>
          <w:b/>
          <w:color w:val="000000"/>
          <w:kern w:val="0"/>
          <w:szCs w:val="21"/>
        </w:rPr>
        <w:t>7.2 检验应注意的问题</w:t>
      </w:r>
    </w:p>
    <w:p>
      <w:pPr>
        <w:snapToGrid w:val="0"/>
        <w:spacing w:line="360" w:lineRule="auto"/>
        <w:rPr>
          <w:b/>
          <w:color w:val="000000"/>
        </w:rPr>
      </w:pPr>
      <w:r>
        <w:rPr>
          <w:b/>
          <w:color w:val="000000"/>
        </w:rPr>
        <w:t>7.2.</w:t>
      </w:r>
      <w:r>
        <w:rPr>
          <w:rFonts w:hint="eastAsia"/>
          <w:b/>
          <w:color w:val="000000"/>
        </w:rPr>
        <w:t xml:space="preserve">1 </w:t>
      </w:r>
      <w:r>
        <w:rPr>
          <w:b/>
          <w:color w:val="000000"/>
        </w:rPr>
        <w:t>取样要求</w:t>
      </w:r>
    </w:p>
    <w:p>
      <w:pPr>
        <w:snapToGrid w:val="0"/>
        <w:spacing w:line="360" w:lineRule="auto"/>
        <w:ind w:firstLine="420" w:firstLineChars="200"/>
        <w:rPr>
          <w:color w:val="000000"/>
        </w:rPr>
      </w:pPr>
      <w:r>
        <w:rPr>
          <w:color w:val="000000"/>
        </w:rPr>
        <w:t>对于素色、相同材质、均匀混色或小循环印花、色织及类似效果的材料，按相应的试验方法标准规定取样。</w:t>
      </w:r>
    </w:p>
    <w:p>
      <w:pPr>
        <w:snapToGrid w:val="0"/>
        <w:spacing w:line="360" w:lineRule="auto"/>
        <w:ind w:firstLine="420" w:firstLineChars="200"/>
        <w:rPr>
          <w:color w:val="000000"/>
        </w:rPr>
      </w:pPr>
      <w:r>
        <w:rPr>
          <w:color w:val="000000"/>
        </w:rPr>
        <w:t>对于花型循环较大或无规律的印花和色织产品，色牢度试验分别取各色相检测，以级别最低的作为试验结果。</w:t>
      </w:r>
    </w:p>
    <w:p>
      <w:pPr>
        <w:snapToGrid w:val="0"/>
        <w:spacing w:line="360" w:lineRule="auto"/>
        <w:ind w:firstLine="420" w:firstLineChars="200"/>
        <w:rPr>
          <w:color w:val="000000"/>
        </w:rPr>
      </w:pPr>
      <w:r>
        <w:rPr>
          <w:color w:val="000000"/>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360" w:lineRule="auto"/>
        <w:ind w:firstLine="420" w:firstLineChars="200"/>
        <w:rPr>
          <w:color w:val="000000"/>
        </w:rPr>
      </w:pPr>
      <w:r>
        <w:rPr>
          <w:color w:val="000000"/>
        </w:rPr>
        <w:t>对于可分解致癌芳香胺染料的试样，当混色取样时，同种材质的每个试样一般不可超过三种颜色，如混色检验检出阳性时，应分色重检。</w:t>
      </w:r>
    </w:p>
    <w:p>
      <w:pPr>
        <w:snapToGrid w:val="0"/>
        <w:spacing w:line="360" w:lineRule="auto"/>
        <w:ind w:firstLine="420" w:firstLineChars="200"/>
        <w:rPr>
          <w:color w:val="000000"/>
        </w:rPr>
      </w:pPr>
      <w:r>
        <w:rPr>
          <w:color w:val="000000"/>
        </w:rPr>
        <w:t>同一样品不同材质、不同色别或花型的多组件组成的材料，需按不同组件分别取样检测各项目。对含多组件的产品，重量不超过整件制品的1%的小型组件不考核。</w:t>
      </w:r>
    </w:p>
    <w:p>
      <w:pPr>
        <w:snapToGrid w:val="0"/>
        <w:spacing w:line="360" w:lineRule="auto"/>
        <w:ind w:firstLine="420" w:firstLineChars="200"/>
        <w:rPr>
          <w:color w:val="000000"/>
        </w:rPr>
      </w:pPr>
      <w:r>
        <w:rPr>
          <w:rFonts w:hint="eastAsia"/>
          <w:color w:val="000000"/>
        </w:rPr>
        <w:t>样品有局部印花或配料（拼料、辅料）的，若取样数量不能满足所有试验要求，应先取可分解致癌芳香胺染料试样，然后依次取甲醛含量、色牢度、pH值及其他试样。对于部分项目因取样数量不能满足试验要求而未经检测的，可备注：样品有局部印花或配料，取样数量不能满足所有试验要求，部分项目未经检测。</w:t>
      </w:r>
    </w:p>
    <w:p>
      <w:pPr>
        <w:snapToGrid w:val="0"/>
        <w:spacing w:line="360" w:lineRule="auto"/>
        <w:rPr>
          <w:color w:val="000000"/>
        </w:rPr>
      </w:pPr>
      <w:r>
        <w:rPr>
          <w:b/>
          <w:color w:val="000000"/>
        </w:rPr>
        <w:t>7.2.</w:t>
      </w:r>
      <w:r>
        <w:rPr>
          <w:rFonts w:hint="eastAsia"/>
          <w:b/>
          <w:color w:val="000000"/>
        </w:rPr>
        <w:t xml:space="preserve">2 </w:t>
      </w:r>
      <w:r>
        <w:rPr>
          <w:color w:val="000000"/>
        </w:rPr>
        <w:t>可分解致癌芳香胺染料检测时采用的前处理方法：按GB/T 17592-2011中6.1规定的方法。粘合剂或氨纶的产品一般不作预处理，即涂层，粘合剂不刮除，氨纶不拆出。对未经过染色或印花工艺的产品可判定该产品未使用禁用的可分解致癌芳香胺染料。</w:t>
      </w:r>
    </w:p>
    <w:p>
      <w:pPr>
        <w:snapToGrid w:val="0"/>
        <w:spacing w:line="360" w:lineRule="auto"/>
        <w:ind w:firstLine="420" w:firstLineChars="200"/>
        <w:rPr>
          <w:color w:val="000000"/>
        </w:rPr>
      </w:pPr>
      <w:r>
        <w:rPr>
          <w:color w:val="000000"/>
        </w:rPr>
        <w:t>可分解致癌芳香胺染料检测：采用GC/MS内标法进行分析。出现阳性结果的时候按GB/T 17592进行确认，建议用HPLC进行确认。</w:t>
      </w:r>
    </w:p>
    <w:p>
      <w:pPr>
        <w:snapToGrid w:val="0"/>
        <w:spacing w:line="360" w:lineRule="auto"/>
        <w:rPr>
          <w:color w:val="000000"/>
        </w:rPr>
      </w:pPr>
      <w:r>
        <w:rPr>
          <w:b/>
          <w:color w:val="000000"/>
        </w:rPr>
        <w:t>7.2.</w:t>
      </w:r>
      <w:r>
        <w:rPr>
          <w:rFonts w:hint="eastAsia"/>
          <w:b/>
          <w:color w:val="000000"/>
        </w:rPr>
        <w:t xml:space="preserve">3 </w:t>
      </w:r>
      <w:r>
        <w:rPr>
          <w:color w:val="000000"/>
        </w:rPr>
        <w:t>产品标明安全类别的，按明示分类进行归类考核；产品未标明安全类别或明示分类明显不符合GB 18401-2010标准分类方法时，按GB 18401-2010标准规定的产品分类方法进行归类考核。</w:t>
      </w:r>
    </w:p>
    <w:p>
      <w:pPr>
        <w:snapToGrid w:val="0"/>
        <w:spacing w:line="360" w:lineRule="auto"/>
        <w:rPr>
          <w:color w:val="000000"/>
        </w:rPr>
      </w:pPr>
      <w:r>
        <w:rPr>
          <w:b/>
          <w:color w:val="000000"/>
        </w:rPr>
        <w:t>7.2.</w:t>
      </w:r>
      <w:r>
        <w:rPr>
          <w:rFonts w:hint="eastAsia"/>
          <w:b/>
          <w:color w:val="000000"/>
        </w:rPr>
        <w:t xml:space="preserve">4 </w:t>
      </w:r>
      <w:r>
        <w:rPr>
          <w:color w:val="000000"/>
        </w:rPr>
        <w:t>如产品缺少或无对应产品质量等级按其产品标准中的最低质量等级（不包括等外品）考核。</w:t>
      </w:r>
    </w:p>
    <w:p>
      <w:pPr>
        <w:snapToGrid w:val="0"/>
        <w:spacing w:line="360" w:lineRule="auto"/>
        <w:rPr>
          <w:color w:val="000000"/>
        </w:rPr>
      </w:pPr>
      <w:r>
        <w:rPr>
          <w:b/>
          <w:color w:val="000000"/>
        </w:rPr>
        <w:t>7.2.</w:t>
      </w:r>
      <w:r>
        <w:rPr>
          <w:rFonts w:hint="eastAsia"/>
          <w:b/>
          <w:color w:val="000000"/>
        </w:rPr>
        <w:t xml:space="preserve">5 </w:t>
      </w:r>
      <w:r>
        <w:rPr>
          <w:color w:val="000000"/>
        </w:rPr>
        <w:t>pH值的测定用0.1mol/L氯化钾溶液作为萃取介质，产品标准另有规定的，按相应要求执行。</w:t>
      </w:r>
    </w:p>
    <w:p>
      <w:pPr>
        <w:snapToGrid w:val="0"/>
        <w:spacing w:line="360" w:lineRule="auto"/>
        <w:rPr>
          <w:color w:val="000000"/>
        </w:rPr>
      </w:pPr>
      <w:r>
        <w:rPr>
          <w:rFonts w:hint="eastAsia"/>
          <w:b/>
          <w:color w:val="000000"/>
        </w:rPr>
        <w:t>7.2.6</w:t>
      </w:r>
      <w:r>
        <w:rPr>
          <w:rFonts w:hint="eastAsia"/>
          <w:color w:val="000000"/>
        </w:rPr>
        <w:t>产品使用说明标注的纤维含量不一致时，应以耐久标签标注的纤维含量进行考核。</w:t>
      </w:r>
    </w:p>
    <w:p>
      <w:pPr>
        <w:spacing w:line="360" w:lineRule="auto"/>
        <w:rPr>
          <w:color w:val="000000"/>
          <w:szCs w:val="21"/>
        </w:rPr>
      </w:pPr>
      <w:r>
        <w:rPr>
          <w:rFonts w:hint="eastAsia"/>
          <w:b/>
          <w:color w:val="000000"/>
          <w:szCs w:val="21"/>
        </w:rPr>
        <w:t>7.2</w:t>
      </w:r>
      <w:r>
        <w:rPr>
          <w:b/>
          <w:color w:val="000000"/>
          <w:szCs w:val="21"/>
        </w:rPr>
        <w:t>.</w:t>
      </w:r>
      <w:r>
        <w:rPr>
          <w:rFonts w:hint="eastAsia"/>
          <w:b/>
          <w:color w:val="000000"/>
          <w:szCs w:val="21"/>
        </w:rPr>
        <w:t xml:space="preserve">7 </w:t>
      </w:r>
      <w:r>
        <w:rPr>
          <w:rFonts w:hint="eastAsia"/>
          <w:color w:val="000000"/>
          <w:szCs w:val="21"/>
        </w:rPr>
        <w:t>产品若未按标准要求标明纤维含量信息，则判定纤维含量检验项目不符合</w:t>
      </w:r>
      <w:r>
        <w:rPr>
          <w:color w:val="000000"/>
          <w:szCs w:val="21"/>
        </w:rPr>
        <w:t>。</w:t>
      </w:r>
    </w:p>
    <w:p>
      <w:pPr>
        <w:spacing w:line="360" w:lineRule="auto"/>
        <w:rPr>
          <w:color w:val="000000"/>
          <w:szCs w:val="21"/>
        </w:rPr>
      </w:pPr>
      <w:r>
        <w:rPr>
          <w:rFonts w:hint="eastAsia"/>
          <w:b/>
          <w:color w:val="000000"/>
          <w:szCs w:val="21"/>
        </w:rPr>
        <w:t>7.2.8</w:t>
      </w:r>
      <w:r>
        <w:rPr>
          <w:rFonts w:hint="eastAsia"/>
          <w:color w:val="000000"/>
          <w:szCs w:val="21"/>
        </w:rPr>
        <w:t>考虑到样品存在的不均匀性和检验的可靠性，样品中检测出微量其他纤维（未明示）时，如果其他纤维（未明示）的含量</w:t>
      </w:r>
      <w:r>
        <w:rPr>
          <w:color w:val="000000"/>
          <w:szCs w:val="21"/>
        </w:rPr>
        <w:t>≤1%</w:t>
      </w:r>
      <w:r>
        <w:rPr>
          <w:rFonts w:hint="eastAsia"/>
          <w:color w:val="000000"/>
          <w:szCs w:val="21"/>
        </w:rPr>
        <w:t>，或样品明示含微量其他纤维，而未检出时，该微量其他纤维不计入总量进行判定。</w:t>
      </w:r>
    </w:p>
    <w:p>
      <w:pPr>
        <w:spacing w:line="360" w:lineRule="auto"/>
        <w:rPr>
          <w:b/>
          <w:color w:val="000000"/>
          <w:szCs w:val="21"/>
        </w:rPr>
      </w:pPr>
      <w:r>
        <w:rPr>
          <w:rFonts w:hint="eastAsia"/>
          <w:b/>
          <w:color w:val="000000"/>
          <w:szCs w:val="21"/>
        </w:rPr>
        <w:t>7.2.9</w:t>
      </w:r>
      <w:r>
        <w:rPr>
          <w:rFonts w:hint="eastAsia"/>
          <w:color w:val="000000"/>
          <w:szCs w:val="21"/>
        </w:rPr>
        <w:t>色牢度采用单纤贴衬。</w:t>
      </w:r>
    </w:p>
    <w:p>
      <w:pPr>
        <w:spacing w:line="360" w:lineRule="auto"/>
        <w:rPr>
          <w:color w:val="000000"/>
          <w:szCs w:val="21"/>
        </w:rPr>
      </w:pPr>
      <w:r>
        <w:rPr>
          <w:b/>
          <w:color w:val="000000"/>
          <w:szCs w:val="21"/>
        </w:rPr>
        <w:t>7.2.</w:t>
      </w:r>
      <w:r>
        <w:rPr>
          <w:rFonts w:hint="eastAsia"/>
          <w:b/>
          <w:color w:val="000000"/>
          <w:szCs w:val="21"/>
        </w:rPr>
        <w:t>10</w:t>
      </w:r>
      <w:r>
        <w:rPr>
          <w:rFonts w:hint="eastAsia"/>
          <w:color w:val="000000"/>
          <w:szCs w:val="21"/>
        </w:rPr>
        <w:t>抽样时，应注意对于样品相关信息的确认。具体包括：</w:t>
      </w:r>
    </w:p>
    <w:p>
      <w:pPr>
        <w:spacing w:line="360" w:lineRule="auto"/>
        <w:rPr>
          <w:color w:val="000000"/>
          <w:szCs w:val="21"/>
        </w:rPr>
      </w:pPr>
      <w:r>
        <w:rPr>
          <w:rFonts w:hint="eastAsia"/>
          <w:b/>
          <w:color w:val="000000"/>
          <w:szCs w:val="21"/>
        </w:rPr>
        <w:t xml:space="preserve">7.2.10.1 </w:t>
      </w:r>
      <w:r>
        <w:rPr>
          <w:rFonts w:hint="eastAsia"/>
          <w:color w:val="000000"/>
          <w:szCs w:val="21"/>
        </w:rPr>
        <w:t>如果样品标注的信息不全，必须确认该产品的纤维含量和安全类别。</w:t>
      </w:r>
    </w:p>
    <w:p>
      <w:pPr>
        <w:spacing w:line="360" w:lineRule="auto"/>
        <w:rPr>
          <w:color w:val="000000"/>
          <w:szCs w:val="21"/>
        </w:rPr>
      </w:pPr>
      <w:r>
        <w:rPr>
          <w:rFonts w:hint="eastAsia"/>
          <w:b/>
          <w:color w:val="000000"/>
          <w:szCs w:val="21"/>
        </w:rPr>
        <w:t>7.2.10.2</w:t>
      </w:r>
      <w:r>
        <w:rPr>
          <w:rFonts w:hint="eastAsia"/>
          <w:color w:val="000000"/>
          <w:szCs w:val="21"/>
        </w:rPr>
        <w:t>样品明示的执行标准明显不适用或未明示执行标准时，应在抽样单中注明适用的标准，并与生产企业进行确认。</w:t>
      </w:r>
    </w:p>
    <w:p>
      <w:pPr>
        <w:spacing w:line="360" w:lineRule="auto"/>
        <w:rPr>
          <w:color w:val="000000"/>
          <w:szCs w:val="21"/>
        </w:rPr>
      </w:pPr>
      <w:r>
        <w:rPr>
          <w:rFonts w:hint="eastAsia"/>
          <w:b/>
          <w:color w:val="000000"/>
          <w:szCs w:val="21"/>
        </w:rPr>
        <w:t xml:space="preserve">7.2.10.3 </w:t>
      </w:r>
      <w:r>
        <w:rPr>
          <w:rFonts w:hint="eastAsia"/>
          <w:color w:val="000000"/>
          <w:szCs w:val="21"/>
        </w:rPr>
        <w:t>当耐久性标签未明示产品的纤维含量时，应请企业注明纤维含量并在抽样单上签字确认。如产品为多种织物拼接而成的，纤维含量标识明示部位和实际对应的部位有歧义的，检验机构也应向生产企业确认。</w:t>
      </w:r>
    </w:p>
    <w:p>
      <w:pPr>
        <w:snapToGrid w:val="0"/>
        <w:spacing w:line="360" w:lineRule="auto"/>
        <w:rPr>
          <w:color w:val="000000"/>
        </w:rPr>
      </w:pPr>
      <w:r>
        <w:rPr>
          <w:b/>
          <w:color w:val="000000"/>
          <w:szCs w:val="21"/>
        </w:rPr>
        <w:t>7.2.1</w:t>
      </w:r>
      <w:r>
        <w:rPr>
          <w:rFonts w:hint="eastAsia"/>
          <w:b/>
          <w:color w:val="000000"/>
          <w:szCs w:val="21"/>
        </w:rPr>
        <w:t>1</w:t>
      </w:r>
      <w:r>
        <w:rPr>
          <w:color w:val="000000"/>
        </w:rPr>
        <w:t>检验后样品（特别是不合格样品）应妥善保存至所有检验结果公布之后才能退还被抽样企业。如因检验造成破坏或者损耗而无法退还的样品可以不退还，但应当向被抽查企业说明情况。</w:t>
      </w:r>
    </w:p>
    <w:p>
      <w:pPr>
        <w:snapToGrid w:val="0"/>
        <w:spacing w:line="360" w:lineRule="auto"/>
        <w:rPr>
          <w:snapToGrid w:val="0"/>
          <w:color w:val="000000"/>
        </w:rPr>
      </w:pPr>
      <w:r>
        <w:rPr>
          <w:b/>
          <w:color w:val="000000"/>
          <w:szCs w:val="21"/>
        </w:rPr>
        <w:t>7.2.1</w:t>
      </w:r>
      <w:r>
        <w:rPr>
          <w:rFonts w:hint="eastAsia"/>
          <w:b/>
          <w:color w:val="000000"/>
          <w:szCs w:val="21"/>
        </w:rPr>
        <w:t>2</w:t>
      </w:r>
      <w:r>
        <w:rPr>
          <w:rFonts w:hint="eastAsia"/>
          <w:snapToGrid w:val="0"/>
          <w:color w:val="000000"/>
        </w:rPr>
        <w:t>若被检产品明示的质量要求高于本细则中检验项目依据的标准要求时，应按被检产品明示的质量要求判定。</w:t>
      </w:r>
    </w:p>
    <w:p>
      <w:pPr>
        <w:snapToGrid w:val="0"/>
        <w:spacing w:line="360" w:lineRule="auto"/>
        <w:ind w:firstLine="420" w:firstLineChars="200"/>
        <w:rPr>
          <w:snapToGrid w:val="0"/>
          <w:color w:val="000000"/>
        </w:rPr>
      </w:pPr>
      <w:r>
        <w:rPr>
          <w:rFonts w:hint="eastAsia"/>
          <w:snapToGrid w:val="0"/>
          <w:color w:val="000000"/>
        </w:rPr>
        <w:t>若被检产品明示的质量要求低于本细则中检验项目依据的强制性标准要求时，应按强制性标准要求判定。</w:t>
      </w:r>
    </w:p>
    <w:p>
      <w:pPr>
        <w:snapToGrid w:val="0"/>
        <w:spacing w:line="360" w:lineRule="auto"/>
        <w:ind w:firstLine="420" w:firstLineChars="200"/>
        <w:rPr>
          <w:snapToGrid w:val="0"/>
          <w:color w:val="000000"/>
        </w:rPr>
      </w:pPr>
      <w:r>
        <w:rPr>
          <w:rFonts w:hint="eastAsia"/>
          <w:snapToGrid w:val="0"/>
          <w:color w:val="000000"/>
        </w:rPr>
        <w:t>若被检产品明示的质量要求低</w:t>
      </w:r>
      <w:r>
        <w:rPr>
          <w:rFonts w:hint="eastAsia"/>
          <w:snapToGrid w:val="0"/>
          <w:color w:val="auto"/>
        </w:rPr>
        <w:t>于</w:t>
      </w:r>
      <w:r>
        <w:rPr>
          <w:rFonts w:hint="eastAsia"/>
          <w:snapToGrid w:val="0"/>
          <w:color w:val="auto"/>
          <w:lang w:eastAsia="zh-CN"/>
        </w:rPr>
        <w:t>或</w:t>
      </w:r>
      <w:r>
        <w:rPr>
          <w:rFonts w:hint="eastAsia"/>
          <w:snapToGrid w:val="0"/>
          <w:color w:val="auto"/>
        </w:rPr>
        <w:t>包</w:t>
      </w:r>
      <w:r>
        <w:rPr>
          <w:rFonts w:hint="eastAsia"/>
          <w:snapToGrid w:val="0"/>
          <w:color w:val="000000"/>
        </w:rPr>
        <w:t>含本细则中检验项目依据的推荐性标准要求时，应以被检产品明示的质量要求判定。</w:t>
      </w:r>
    </w:p>
    <w:p>
      <w:pPr>
        <w:snapToGrid w:val="0"/>
        <w:spacing w:line="360" w:lineRule="auto"/>
        <w:ind w:firstLine="420" w:firstLineChars="200"/>
        <w:rPr>
          <w:snapToGrid w:val="0"/>
          <w:color w:val="000000"/>
        </w:rPr>
      </w:pPr>
      <w:r>
        <w:rPr>
          <w:rFonts w:hint="eastAsia"/>
          <w:snapToGrid w:val="0"/>
          <w:color w:val="000000"/>
        </w:rPr>
        <w:t>若被检产品明示的质量要求缺少本细则中检验项目依据的强制性标准要求时，应按照强制性标准要求判定。</w:t>
      </w:r>
    </w:p>
    <w:p>
      <w:pPr>
        <w:snapToGrid w:val="0"/>
        <w:spacing w:line="360" w:lineRule="auto"/>
        <w:ind w:firstLine="420" w:firstLineChars="200"/>
        <w:rPr>
          <w:snapToGrid w:val="0"/>
          <w:color w:val="000000"/>
        </w:rPr>
      </w:pPr>
      <w:r>
        <w:rPr>
          <w:rFonts w:hint="eastAsia"/>
          <w:snapToGrid w:val="0"/>
          <w:color w:val="000000"/>
        </w:rPr>
        <w:t>若被检产品明示的质量要求缺少本细则中检验项目依据的推荐性标准要求时，该项目不参与判定，但应当在检验报告备注栏中进行说明。</w:t>
      </w:r>
    </w:p>
    <w:p>
      <w:pPr>
        <w:snapToGrid w:val="0"/>
        <w:spacing w:line="460" w:lineRule="exact"/>
        <w:rPr>
          <w:rFonts w:ascii="宋体" w:hAnsi="宋体"/>
          <w:b/>
          <w:color w:val="000000"/>
          <w:kern w:val="0"/>
          <w:szCs w:val="21"/>
        </w:rPr>
      </w:pPr>
      <w:r>
        <w:rPr>
          <w:rFonts w:ascii="宋体" w:hAnsi="宋体"/>
          <w:b/>
          <w:color w:val="000000"/>
          <w:kern w:val="0"/>
          <w:szCs w:val="21"/>
        </w:rPr>
        <w:t xml:space="preserve">8 </w:t>
      </w:r>
      <w:r>
        <w:rPr>
          <w:rFonts w:hint="eastAsia" w:ascii="宋体" w:hAnsi="宋体"/>
          <w:b/>
          <w:color w:val="000000"/>
          <w:kern w:val="0"/>
          <w:szCs w:val="21"/>
        </w:rPr>
        <w:t>判定原则</w:t>
      </w:r>
    </w:p>
    <w:p>
      <w:pPr>
        <w:snapToGrid w:val="0"/>
        <w:spacing w:line="460" w:lineRule="exact"/>
        <w:ind w:firstLine="420" w:firstLineChars="200"/>
        <w:rPr>
          <w:rFonts w:ascii="宋体" w:hAnsi="宋体"/>
          <w:snapToGrid w:val="0"/>
          <w:color w:val="000000"/>
        </w:rPr>
      </w:pPr>
      <w:r>
        <w:rPr>
          <w:rFonts w:hint="eastAsia" w:ascii="宋体" w:hAnsi="宋体"/>
          <w:snapToGrid w:val="0"/>
          <w:color w:val="000000"/>
        </w:rPr>
        <w:t>经检验，检验项目全部合格，判定为被抽查产品合格；检验项目中任一项或一项以上不合格，判定为被抽查产品不合格。当产品存在A类项目不合格时，属于严重不合格。</w:t>
      </w:r>
    </w:p>
    <w:p>
      <w:pPr>
        <w:snapToGrid w:val="0"/>
        <w:spacing w:line="460" w:lineRule="exact"/>
        <w:rPr>
          <w:rFonts w:ascii="宋体" w:hAnsi="宋体"/>
          <w:b/>
          <w:color w:val="000000"/>
          <w:szCs w:val="21"/>
        </w:rPr>
      </w:pPr>
      <w:r>
        <w:rPr>
          <w:rFonts w:ascii="宋体" w:hAnsi="宋体"/>
          <w:b/>
          <w:color w:val="000000"/>
          <w:szCs w:val="21"/>
        </w:rPr>
        <w:t xml:space="preserve">9 </w:t>
      </w:r>
      <w:r>
        <w:rPr>
          <w:rFonts w:hint="eastAsia" w:ascii="宋体" w:hAnsi="宋体"/>
          <w:b/>
          <w:color w:val="000000"/>
          <w:szCs w:val="21"/>
        </w:rPr>
        <w:t>异议处理</w:t>
      </w:r>
    </w:p>
    <w:p>
      <w:pPr>
        <w:snapToGrid w:val="0"/>
        <w:spacing w:line="460" w:lineRule="exact"/>
        <w:ind w:firstLine="420" w:firstLineChars="200"/>
        <w:rPr>
          <w:rFonts w:ascii="宋体" w:hAnsi="宋体"/>
          <w:color w:val="000000"/>
          <w:szCs w:val="21"/>
        </w:rPr>
      </w:pPr>
      <w:r>
        <w:rPr>
          <w:rFonts w:hint="eastAsia" w:ascii="宋体" w:hAnsi="宋体"/>
          <w:color w:val="000000"/>
          <w:szCs w:val="21"/>
        </w:rPr>
        <w:t>对判定不合格产品进行异议处理时，按以下方式进行：</w:t>
      </w:r>
    </w:p>
    <w:p>
      <w:pPr>
        <w:snapToGrid w:val="0"/>
        <w:spacing w:line="460" w:lineRule="exact"/>
        <w:rPr>
          <w:rFonts w:ascii="宋体" w:hAnsi="宋体"/>
          <w:color w:val="000000"/>
          <w:szCs w:val="21"/>
        </w:rPr>
      </w:pPr>
      <w:r>
        <w:rPr>
          <w:rFonts w:ascii="宋体" w:hAnsi="宋体"/>
          <w:b/>
          <w:color w:val="000000"/>
          <w:szCs w:val="21"/>
        </w:rPr>
        <w:t>9.1</w:t>
      </w:r>
      <w:r>
        <w:rPr>
          <w:rFonts w:hint="eastAsia" w:ascii="宋体" w:hAnsi="宋体"/>
          <w:color w:val="000000"/>
          <w:szCs w:val="21"/>
        </w:rPr>
        <w:t>核查不合格项目相关证据，能够以记录（纸质记录或电子记录或影像记录）或与不合格项目相关联的其它质量数据等检验证据证明。</w:t>
      </w:r>
    </w:p>
    <w:p>
      <w:pPr>
        <w:snapToGrid w:val="0"/>
        <w:spacing w:line="460" w:lineRule="exact"/>
        <w:rPr>
          <w:rFonts w:ascii="宋体" w:hAnsi="宋体"/>
          <w:snapToGrid w:val="0"/>
        </w:rPr>
      </w:pPr>
      <w:r>
        <w:rPr>
          <w:rFonts w:ascii="宋体" w:hAnsi="宋体"/>
          <w:b/>
          <w:color w:val="000000"/>
          <w:szCs w:val="21"/>
        </w:rPr>
        <w:t>9.2</w:t>
      </w:r>
      <w:r>
        <w:rPr>
          <w:rFonts w:hint="eastAsia" w:ascii="宋体" w:hAnsi="宋体"/>
          <w:color w:val="000000"/>
          <w:szCs w:val="21"/>
        </w:rPr>
        <w:t>对需要复检并具备检验条件的，处理企业异议的</w:t>
      </w:r>
      <w:r>
        <w:rPr>
          <w:rFonts w:hint="eastAsia" w:ascii="宋体" w:cs="宋体"/>
          <w:kern w:val="0"/>
        </w:rPr>
        <w:t>市场监督管理部门</w:t>
      </w:r>
      <w:r>
        <w:rPr>
          <w:rFonts w:ascii="宋体" w:hAnsi="宋体"/>
          <w:kern w:val="0"/>
          <w:szCs w:val="21"/>
        </w:rPr>
        <w:t>或者指定检验机构</w:t>
      </w:r>
      <w:r>
        <w:rPr>
          <w:rFonts w:hint="eastAsia" w:ascii="宋体" w:hAnsi="宋体"/>
          <w:color w:val="000000"/>
          <w:szCs w:val="21"/>
        </w:rPr>
        <w:t>应当按原监督抽查方案对留存的样品或抽取的备用样品组织复检，并出具检验报告。复检结论为最终结论</w:t>
      </w:r>
      <w:r>
        <w:rPr>
          <w:rFonts w:hint="eastAsia"/>
          <w:color w:val="000000"/>
          <w:szCs w:val="21"/>
        </w:rPr>
        <w:t>。</w:t>
      </w:r>
    </w:p>
    <w:p>
      <w:pPr>
        <w:spacing w:line="360" w:lineRule="auto"/>
        <w:ind w:firstLine="480" w:firstLineChars="200"/>
        <w:rPr>
          <w:sz w:val="24"/>
        </w:rPr>
      </w:pPr>
    </w:p>
    <w:p>
      <w:pPr>
        <w:snapToGrid w:val="0"/>
        <w:spacing w:line="460" w:lineRule="exact"/>
        <w:rPr>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 Sun">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54E0"/>
    <w:rsid w:val="003423AD"/>
    <w:rsid w:val="004C4BFA"/>
    <w:rsid w:val="007833B4"/>
    <w:rsid w:val="007B173B"/>
    <w:rsid w:val="00E754E0"/>
    <w:rsid w:val="00EF5FB7"/>
    <w:rsid w:val="08D40FAA"/>
    <w:rsid w:val="1E551AF1"/>
    <w:rsid w:val="44C21992"/>
    <w:rsid w:val="51F7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672</Words>
  <Characters>3837</Characters>
  <Lines>31</Lines>
  <Paragraphs>8</Paragraphs>
  <TotalTime>0</TotalTime>
  <ScaleCrop>false</ScaleCrop>
  <LinksUpToDate>false</LinksUpToDate>
  <CharactersWithSpaces>4501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lvyanhui.GDQT</dc:creator>
  <cp:lastModifiedBy>潘雁</cp:lastModifiedBy>
  <dcterms:modified xsi:type="dcterms:W3CDTF">2018-11-23T03:27:06Z</dcterms:modified>
  <dc:title>广东省床上用品产品质量监督抽查实施细则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